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A1D" w:rsidRDefault="002C2F12" w:rsidP="00D50362">
      <w:pPr>
        <w:rPr>
          <w:rFonts w:ascii="Arial" w:hAnsi="Arial" w:cs="Arial"/>
          <w:i/>
          <w:sz w:val="28"/>
          <w:szCs w:val="28"/>
        </w:rPr>
      </w:pPr>
      <w:r w:rsidRPr="00362B18">
        <w:rPr>
          <w:rFonts w:ascii="Arial" w:hAnsi="Arial" w:cs="Arial"/>
          <w:b/>
          <w:i/>
          <w:sz w:val="28"/>
          <w:szCs w:val="28"/>
        </w:rPr>
        <w:t>Excelentíssimo Senhor Conselheiro Relator do Tribunal de Contas do Estado de Minas Gerais</w:t>
      </w:r>
      <w:r w:rsidRPr="00362B18">
        <w:rPr>
          <w:rFonts w:ascii="Arial" w:hAnsi="Arial" w:cs="Arial"/>
          <w:i/>
          <w:sz w:val="28"/>
          <w:szCs w:val="28"/>
        </w:rPr>
        <w:t>.</w:t>
      </w:r>
    </w:p>
    <w:p w:rsidR="00362B18" w:rsidRPr="00362B18" w:rsidRDefault="00362B18" w:rsidP="00D50362">
      <w:pPr>
        <w:rPr>
          <w:rFonts w:ascii="Arial" w:hAnsi="Arial" w:cs="Arial"/>
          <w:b/>
          <w:i/>
          <w:sz w:val="28"/>
          <w:szCs w:val="28"/>
        </w:rPr>
      </w:pPr>
    </w:p>
    <w:p w:rsidR="002C2F12" w:rsidRPr="00362B18" w:rsidRDefault="002C2F12" w:rsidP="008708FF">
      <w:pPr>
        <w:spacing w:after="0" w:line="240" w:lineRule="auto"/>
        <w:rPr>
          <w:rFonts w:ascii="Arial" w:hAnsi="Arial" w:cs="Arial"/>
          <w:smallCaps/>
          <w:sz w:val="28"/>
          <w:szCs w:val="28"/>
        </w:rPr>
      </w:pPr>
      <w:r w:rsidRPr="00362B18">
        <w:rPr>
          <w:rFonts w:ascii="Arial" w:hAnsi="Arial" w:cs="Arial"/>
          <w:b/>
          <w:sz w:val="28"/>
          <w:szCs w:val="28"/>
        </w:rPr>
        <w:t>Processo n. 1076899 (Representação)</w:t>
      </w:r>
      <w:r w:rsidRPr="00362B18">
        <w:rPr>
          <w:rFonts w:ascii="Arial" w:hAnsi="Arial" w:cs="Arial"/>
          <w:smallCaps/>
          <w:sz w:val="28"/>
          <w:szCs w:val="28"/>
        </w:rPr>
        <w:t>.</w:t>
      </w:r>
    </w:p>
    <w:p w:rsidR="008708FF" w:rsidRPr="00362B18" w:rsidRDefault="008708FF" w:rsidP="008708FF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b/>
          <w:smallCaps/>
          <w:sz w:val="28"/>
          <w:szCs w:val="28"/>
        </w:rPr>
        <w:t>Conselheiro José Alves Viana</w:t>
      </w:r>
      <w:r w:rsidRPr="00362B18">
        <w:rPr>
          <w:rFonts w:ascii="Arial" w:hAnsi="Arial" w:cs="Arial"/>
          <w:smallCaps/>
          <w:sz w:val="28"/>
          <w:szCs w:val="28"/>
        </w:rPr>
        <w:t>.</w:t>
      </w:r>
    </w:p>
    <w:p w:rsidR="002C2F12" w:rsidRPr="00362B18" w:rsidRDefault="002C2F12" w:rsidP="00D50362">
      <w:pPr>
        <w:rPr>
          <w:rFonts w:ascii="Arial" w:hAnsi="Arial" w:cs="Arial"/>
          <w:sz w:val="28"/>
          <w:szCs w:val="28"/>
        </w:rPr>
      </w:pPr>
    </w:p>
    <w:p w:rsidR="002C2F12" w:rsidRPr="00362B18" w:rsidRDefault="002C2F12" w:rsidP="002C2F12">
      <w:pPr>
        <w:ind w:firstLine="2268"/>
        <w:rPr>
          <w:rFonts w:ascii="Arial" w:hAnsi="Arial" w:cs="Arial"/>
          <w:b/>
          <w:smallCaps/>
          <w:sz w:val="28"/>
          <w:szCs w:val="28"/>
        </w:rPr>
      </w:pPr>
    </w:p>
    <w:p w:rsidR="00C44341" w:rsidRPr="00362B18" w:rsidRDefault="00C44341" w:rsidP="002C2F12">
      <w:pPr>
        <w:ind w:firstLine="2268"/>
        <w:rPr>
          <w:rFonts w:ascii="Arial" w:hAnsi="Arial" w:cs="Arial"/>
          <w:b/>
          <w:smallCaps/>
          <w:sz w:val="28"/>
          <w:szCs w:val="28"/>
        </w:rPr>
      </w:pPr>
    </w:p>
    <w:p w:rsidR="002C2F12" w:rsidRPr="00362B18" w:rsidRDefault="00362B18" w:rsidP="002C2F12">
      <w:pPr>
        <w:ind w:firstLine="226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mallCaps/>
          <w:sz w:val="28"/>
          <w:szCs w:val="28"/>
        </w:rPr>
        <w:t>FERNANDO DE ALMEIDA SANTOS</w:t>
      </w:r>
      <w:r w:rsidR="002C2F12" w:rsidRPr="00362B18">
        <w:rPr>
          <w:rFonts w:ascii="Arial" w:hAnsi="Arial" w:cs="Arial"/>
          <w:sz w:val="28"/>
          <w:szCs w:val="28"/>
        </w:rPr>
        <w:t xml:space="preserve">, brasileiro, </w:t>
      </w:r>
      <w:r>
        <w:rPr>
          <w:rFonts w:ascii="Arial" w:hAnsi="Arial" w:cs="Arial"/>
          <w:sz w:val="28"/>
          <w:szCs w:val="28"/>
        </w:rPr>
        <w:t>casado</w:t>
      </w:r>
      <w:r w:rsidR="002C2F12" w:rsidRPr="00362B18">
        <w:rPr>
          <w:rFonts w:ascii="Arial" w:hAnsi="Arial" w:cs="Arial"/>
          <w:sz w:val="28"/>
          <w:szCs w:val="28"/>
        </w:rPr>
        <w:t xml:space="preserve">, advogado, RG n. </w:t>
      </w:r>
      <w:r>
        <w:rPr>
          <w:rFonts w:ascii="Arial" w:hAnsi="Arial" w:cs="Arial"/>
          <w:sz w:val="28"/>
          <w:szCs w:val="28"/>
        </w:rPr>
        <w:t>7.240.374 SSP</w:t>
      </w:r>
      <w:r w:rsidR="002C2F12" w:rsidRPr="00362B18">
        <w:rPr>
          <w:rFonts w:ascii="Arial" w:hAnsi="Arial" w:cs="Arial"/>
          <w:sz w:val="28"/>
          <w:szCs w:val="28"/>
        </w:rPr>
        <w:t xml:space="preserve">/MG, CPF n. </w:t>
      </w:r>
      <w:r>
        <w:rPr>
          <w:rFonts w:ascii="Arial" w:hAnsi="Arial" w:cs="Arial"/>
          <w:sz w:val="28"/>
          <w:szCs w:val="28"/>
        </w:rPr>
        <w:t>033.725.426-57</w:t>
      </w:r>
      <w:r w:rsidR="002C2F12" w:rsidRPr="00362B18">
        <w:rPr>
          <w:rFonts w:ascii="Arial" w:hAnsi="Arial" w:cs="Arial"/>
          <w:sz w:val="28"/>
          <w:szCs w:val="28"/>
        </w:rPr>
        <w:t xml:space="preserve">, OAB/MG n. </w:t>
      </w:r>
      <w:r>
        <w:rPr>
          <w:rFonts w:ascii="Arial" w:hAnsi="Arial" w:cs="Arial"/>
          <w:sz w:val="28"/>
          <w:szCs w:val="28"/>
        </w:rPr>
        <w:t>80.593</w:t>
      </w:r>
      <w:r w:rsidR="002C2F12" w:rsidRPr="00362B18">
        <w:rPr>
          <w:rFonts w:ascii="Arial" w:hAnsi="Arial" w:cs="Arial"/>
          <w:sz w:val="28"/>
          <w:szCs w:val="28"/>
        </w:rPr>
        <w:t xml:space="preserve">, filho de </w:t>
      </w:r>
      <w:r>
        <w:rPr>
          <w:rFonts w:ascii="Arial" w:hAnsi="Arial" w:cs="Arial"/>
          <w:sz w:val="28"/>
          <w:szCs w:val="28"/>
        </w:rPr>
        <w:t xml:space="preserve">João Batista Vieira dos Santos e Maria Helena de Almeida, </w:t>
      </w:r>
      <w:r w:rsidR="002C2F12" w:rsidRPr="00362B18">
        <w:rPr>
          <w:rFonts w:ascii="Arial" w:hAnsi="Arial" w:cs="Arial"/>
          <w:i/>
          <w:sz w:val="28"/>
          <w:szCs w:val="28"/>
        </w:rPr>
        <w:t>e-mail</w:t>
      </w:r>
      <w:r w:rsidR="002C2F12" w:rsidRPr="00362B18">
        <w:rPr>
          <w:rFonts w:ascii="Arial" w:hAnsi="Arial" w:cs="Arial"/>
          <w:sz w:val="28"/>
          <w:szCs w:val="28"/>
        </w:rPr>
        <w:t xml:space="preserve">: </w:t>
      </w:r>
      <w:r>
        <w:rPr>
          <w:rFonts w:ascii="Arial" w:hAnsi="Arial" w:cs="Arial"/>
          <w:sz w:val="28"/>
          <w:szCs w:val="28"/>
        </w:rPr>
        <w:t>advfernandoalmeida</w:t>
      </w:r>
      <w:r w:rsidR="002C2F12" w:rsidRPr="00362B18">
        <w:rPr>
          <w:rFonts w:ascii="Arial" w:hAnsi="Arial" w:cs="Arial"/>
          <w:sz w:val="28"/>
          <w:szCs w:val="28"/>
        </w:rPr>
        <w:t xml:space="preserve">@gmail.com, </w:t>
      </w:r>
      <w:r>
        <w:rPr>
          <w:rFonts w:ascii="Arial" w:hAnsi="Arial" w:cs="Arial"/>
          <w:sz w:val="28"/>
          <w:szCs w:val="28"/>
        </w:rPr>
        <w:t xml:space="preserve">residente e </w:t>
      </w:r>
      <w:r w:rsidR="002C2F12" w:rsidRPr="00362B18">
        <w:rPr>
          <w:rFonts w:ascii="Arial" w:hAnsi="Arial" w:cs="Arial"/>
          <w:sz w:val="28"/>
          <w:szCs w:val="28"/>
        </w:rPr>
        <w:t xml:space="preserve">domiciliado na </w:t>
      </w:r>
      <w:r>
        <w:rPr>
          <w:rFonts w:ascii="Arial" w:hAnsi="Arial" w:cs="Arial"/>
          <w:sz w:val="28"/>
          <w:szCs w:val="28"/>
        </w:rPr>
        <w:t>R</w:t>
      </w:r>
      <w:r w:rsidR="002C2F12" w:rsidRPr="00362B18">
        <w:rPr>
          <w:rFonts w:ascii="Arial" w:hAnsi="Arial" w:cs="Arial"/>
          <w:sz w:val="28"/>
          <w:szCs w:val="28"/>
        </w:rPr>
        <w:t xml:space="preserve">ua </w:t>
      </w:r>
      <w:r>
        <w:rPr>
          <w:rFonts w:ascii="Arial" w:hAnsi="Arial" w:cs="Arial"/>
          <w:sz w:val="28"/>
          <w:szCs w:val="28"/>
        </w:rPr>
        <w:t>da Gloria</w:t>
      </w:r>
      <w:r w:rsidR="002C2F12" w:rsidRPr="00362B18">
        <w:rPr>
          <w:rFonts w:ascii="Arial" w:hAnsi="Arial" w:cs="Arial"/>
          <w:sz w:val="28"/>
          <w:szCs w:val="28"/>
        </w:rPr>
        <w:t xml:space="preserve">, n. </w:t>
      </w:r>
      <w:r>
        <w:rPr>
          <w:rFonts w:ascii="Arial" w:hAnsi="Arial" w:cs="Arial"/>
          <w:sz w:val="28"/>
          <w:szCs w:val="28"/>
        </w:rPr>
        <w:t>197</w:t>
      </w:r>
      <w:r w:rsidR="002C2F12" w:rsidRPr="00362B18">
        <w:rPr>
          <w:rFonts w:ascii="Arial" w:hAnsi="Arial" w:cs="Arial"/>
          <w:sz w:val="28"/>
          <w:szCs w:val="28"/>
        </w:rPr>
        <w:t>, Centro, Araguari (MG), CEP: 38.440-</w:t>
      </w:r>
      <w:r>
        <w:rPr>
          <w:rFonts w:ascii="Arial" w:hAnsi="Arial" w:cs="Arial"/>
          <w:sz w:val="28"/>
          <w:szCs w:val="28"/>
        </w:rPr>
        <w:t>048</w:t>
      </w:r>
      <w:r w:rsidR="00CA7BA2" w:rsidRPr="00362B18">
        <w:rPr>
          <w:rFonts w:ascii="Arial" w:hAnsi="Arial" w:cs="Arial"/>
          <w:sz w:val="28"/>
          <w:szCs w:val="28"/>
        </w:rPr>
        <w:t xml:space="preserve">, vem em causa própria, apresentar sua defesa nos autos do processo n. 1076899, de acordo com as seguintes razões de fato e de direito: </w:t>
      </w:r>
    </w:p>
    <w:p w:rsidR="00CA7BA2" w:rsidRPr="00362B18" w:rsidRDefault="00CA7BA2" w:rsidP="00CA7BA2">
      <w:pPr>
        <w:spacing w:after="0" w:line="240" w:lineRule="auto"/>
        <w:ind w:left="568" w:firstLine="1700"/>
        <w:rPr>
          <w:rFonts w:ascii="Arial" w:hAnsi="Arial" w:cs="Arial"/>
          <w:smallCaps/>
          <w:sz w:val="28"/>
          <w:szCs w:val="28"/>
        </w:rPr>
      </w:pPr>
    </w:p>
    <w:p w:rsidR="008708FF" w:rsidRPr="00362B18" w:rsidRDefault="008708FF" w:rsidP="008708FF">
      <w:pPr>
        <w:pStyle w:val="PargrafodaLista"/>
        <w:tabs>
          <w:tab w:val="left" w:pos="2268"/>
        </w:tabs>
        <w:spacing w:after="0" w:line="240" w:lineRule="auto"/>
        <w:ind w:left="0" w:firstLine="2268"/>
        <w:contextualSpacing w:val="0"/>
        <w:rPr>
          <w:rFonts w:ascii="Arial" w:hAnsi="Arial" w:cs="Arial"/>
          <w:smallCaps/>
          <w:sz w:val="28"/>
          <w:szCs w:val="28"/>
        </w:rPr>
      </w:pPr>
    </w:p>
    <w:p w:rsidR="008708FF" w:rsidRPr="00362B18" w:rsidRDefault="009D2373" w:rsidP="002D0D62">
      <w:pPr>
        <w:pStyle w:val="PargrafodaLista"/>
        <w:tabs>
          <w:tab w:val="left" w:pos="2268"/>
        </w:tabs>
        <w:ind w:left="2268"/>
        <w:contextualSpacing w:val="0"/>
        <w:rPr>
          <w:rFonts w:ascii="Arial" w:hAnsi="Arial" w:cs="Arial"/>
          <w:smallCaps/>
          <w:sz w:val="28"/>
          <w:szCs w:val="28"/>
        </w:rPr>
      </w:pPr>
      <w:r w:rsidRPr="00362B18">
        <w:rPr>
          <w:rFonts w:ascii="Arial" w:hAnsi="Arial" w:cs="Arial"/>
          <w:smallCaps/>
          <w:sz w:val="28"/>
          <w:szCs w:val="28"/>
        </w:rPr>
        <w:t>Da improcedência d</w:t>
      </w:r>
      <w:r w:rsidR="008708FF" w:rsidRPr="00362B18">
        <w:rPr>
          <w:rFonts w:ascii="Arial" w:hAnsi="Arial" w:cs="Arial"/>
          <w:smallCaps/>
          <w:sz w:val="28"/>
          <w:szCs w:val="28"/>
        </w:rPr>
        <w:t xml:space="preserve">a </w:t>
      </w:r>
      <w:r w:rsidRPr="00362B18">
        <w:rPr>
          <w:rFonts w:ascii="Arial" w:hAnsi="Arial" w:cs="Arial"/>
          <w:smallCaps/>
          <w:sz w:val="28"/>
          <w:szCs w:val="28"/>
        </w:rPr>
        <w:t>r</w:t>
      </w:r>
      <w:r w:rsidR="008708FF" w:rsidRPr="00362B18">
        <w:rPr>
          <w:rFonts w:ascii="Arial" w:hAnsi="Arial" w:cs="Arial"/>
          <w:smallCaps/>
          <w:sz w:val="28"/>
          <w:szCs w:val="28"/>
        </w:rPr>
        <w:t>epresentação do Ministério Público de Contas</w:t>
      </w:r>
      <w:r w:rsidRPr="00362B18">
        <w:rPr>
          <w:rFonts w:ascii="Arial" w:hAnsi="Arial" w:cs="Arial"/>
          <w:smallCaps/>
          <w:sz w:val="28"/>
          <w:szCs w:val="28"/>
        </w:rPr>
        <w:t xml:space="preserve"> em relação ao representado</w:t>
      </w:r>
      <w:r w:rsidR="008708FF" w:rsidRPr="00362B18">
        <w:rPr>
          <w:rFonts w:ascii="Arial" w:hAnsi="Arial" w:cs="Arial"/>
          <w:smallCaps/>
          <w:sz w:val="28"/>
          <w:szCs w:val="28"/>
        </w:rPr>
        <w:t>.</w:t>
      </w:r>
    </w:p>
    <w:p w:rsidR="00696A6B" w:rsidRPr="00362B18" w:rsidRDefault="009D2373" w:rsidP="00CA7BA2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Apresenta o MPC no dia 10.09.2019</w:t>
      </w:r>
      <w:r w:rsidR="005C165F" w:rsidRPr="00362B18">
        <w:rPr>
          <w:rFonts w:ascii="Arial" w:hAnsi="Arial" w:cs="Arial"/>
          <w:sz w:val="28"/>
          <w:szCs w:val="28"/>
        </w:rPr>
        <w:t xml:space="preserve"> (peça 4 do SGAP)</w:t>
      </w:r>
      <w:r w:rsidRPr="00362B18">
        <w:rPr>
          <w:rFonts w:ascii="Arial" w:hAnsi="Arial" w:cs="Arial"/>
          <w:sz w:val="28"/>
          <w:szCs w:val="28"/>
        </w:rPr>
        <w:t xml:space="preserve"> representação contra diversos agentes públicos do município</w:t>
      </w:r>
      <w:r w:rsidR="00040555" w:rsidRPr="00362B18">
        <w:rPr>
          <w:rFonts w:ascii="Arial" w:hAnsi="Arial" w:cs="Arial"/>
          <w:sz w:val="28"/>
          <w:szCs w:val="28"/>
        </w:rPr>
        <w:t xml:space="preserve"> de Araguari (MG)</w:t>
      </w:r>
      <w:r w:rsidRPr="00362B18">
        <w:rPr>
          <w:rFonts w:ascii="Arial" w:hAnsi="Arial" w:cs="Arial"/>
          <w:sz w:val="28"/>
          <w:szCs w:val="28"/>
        </w:rPr>
        <w:t>, dentre os quais o advogado e servidor público municipal</w:t>
      </w:r>
      <w:r w:rsidR="00696A6B" w:rsidRPr="00362B18">
        <w:rPr>
          <w:rFonts w:ascii="Arial" w:hAnsi="Arial" w:cs="Arial"/>
          <w:sz w:val="28"/>
          <w:szCs w:val="28"/>
        </w:rPr>
        <w:t xml:space="preserve"> ora</w:t>
      </w:r>
      <w:r w:rsidRPr="00362B18">
        <w:rPr>
          <w:rFonts w:ascii="Arial" w:hAnsi="Arial" w:cs="Arial"/>
          <w:sz w:val="28"/>
          <w:szCs w:val="28"/>
        </w:rPr>
        <w:t xml:space="preserve"> signatário</w:t>
      </w:r>
      <w:r w:rsidR="00696A6B" w:rsidRPr="00362B18">
        <w:rPr>
          <w:rFonts w:ascii="Arial" w:hAnsi="Arial" w:cs="Arial"/>
          <w:sz w:val="28"/>
          <w:szCs w:val="28"/>
        </w:rPr>
        <w:t>.</w:t>
      </w:r>
    </w:p>
    <w:p w:rsidR="00696A6B" w:rsidRPr="00362B18" w:rsidRDefault="00696A6B" w:rsidP="00CA7BA2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Especificamente em relação ao representado, o MPC pede a sua responsabilização nos seguintes termos, </w:t>
      </w:r>
      <w:r w:rsidRPr="00362B18">
        <w:rPr>
          <w:rFonts w:ascii="Arial" w:hAnsi="Arial" w:cs="Arial"/>
          <w:i/>
          <w:sz w:val="28"/>
          <w:szCs w:val="28"/>
        </w:rPr>
        <w:t>in verbis</w:t>
      </w:r>
      <w:r w:rsidRPr="00362B18">
        <w:rPr>
          <w:rFonts w:ascii="Arial" w:hAnsi="Arial" w:cs="Arial"/>
          <w:sz w:val="28"/>
          <w:szCs w:val="28"/>
        </w:rPr>
        <w:t>:</w:t>
      </w:r>
    </w:p>
    <w:p w:rsidR="00696A6B" w:rsidRPr="00362B18" w:rsidRDefault="00696A6B" w:rsidP="00696A6B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6D132182" wp14:editId="1B79F95A">
            <wp:extent cx="5760085" cy="37528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6A6B" w:rsidRPr="00362B18" w:rsidRDefault="00696A6B" w:rsidP="00696A6B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2C1350E" wp14:editId="7A9D3D03">
            <wp:extent cx="5760085" cy="118745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18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65F" w:rsidRPr="00362B18" w:rsidRDefault="00696A6B" w:rsidP="00CA7BA2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A Unidade Técnica se manifestou</w:t>
      </w:r>
      <w:r w:rsidR="00562376" w:rsidRPr="00362B18">
        <w:rPr>
          <w:rFonts w:ascii="Arial" w:hAnsi="Arial" w:cs="Arial"/>
          <w:sz w:val="28"/>
          <w:szCs w:val="28"/>
        </w:rPr>
        <w:t xml:space="preserve">, em relação ao representado, </w:t>
      </w:r>
      <w:r w:rsidRPr="00362B18">
        <w:rPr>
          <w:rFonts w:ascii="Arial" w:hAnsi="Arial" w:cs="Arial"/>
          <w:sz w:val="28"/>
          <w:szCs w:val="28"/>
        </w:rPr>
        <w:t>por meio do</w:t>
      </w:r>
      <w:r w:rsidR="00562376" w:rsidRPr="00362B18">
        <w:rPr>
          <w:rFonts w:ascii="Arial" w:hAnsi="Arial" w:cs="Arial"/>
          <w:sz w:val="28"/>
          <w:szCs w:val="28"/>
        </w:rPr>
        <w:t xml:space="preserve"> detalhado</w:t>
      </w:r>
      <w:r w:rsidRPr="00362B18">
        <w:rPr>
          <w:rFonts w:ascii="Arial" w:hAnsi="Arial" w:cs="Arial"/>
          <w:sz w:val="28"/>
          <w:szCs w:val="28"/>
        </w:rPr>
        <w:t xml:space="preserve"> relatório técnico</w:t>
      </w:r>
      <w:r w:rsidR="005C165F" w:rsidRPr="00362B18">
        <w:rPr>
          <w:rFonts w:ascii="Arial" w:hAnsi="Arial" w:cs="Arial"/>
          <w:sz w:val="28"/>
          <w:szCs w:val="28"/>
        </w:rPr>
        <w:t xml:space="preserve"> (peça 6 do SGAP) nos seguintes termos, </w:t>
      </w:r>
      <w:r w:rsidR="005C165F" w:rsidRPr="00362B18">
        <w:rPr>
          <w:rFonts w:ascii="Arial" w:hAnsi="Arial" w:cs="Arial"/>
          <w:i/>
          <w:sz w:val="28"/>
          <w:szCs w:val="28"/>
        </w:rPr>
        <w:t>in verbis</w:t>
      </w:r>
      <w:r w:rsidR="005C165F" w:rsidRPr="00362B18">
        <w:rPr>
          <w:rFonts w:ascii="Arial" w:hAnsi="Arial" w:cs="Arial"/>
          <w:sz w:val="28"/>
          <w:szCs w:val="28"/>
        </w:rPr>
        <w:t>: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12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(...)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12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A Administração Municipal prorrogou o prazo do contrato de locação de 29/07/2017 a 29/07/2018, por meio do 4º Termo Aditivo, de 12/07/2017 – f. 622/623, em atendimento à solicitação do Secretário Municipal de Saúde, Sr. João Batista Arantes da Silva, de 02/05/2017 – f. 614, e Parecer Jurídico exarado pelos Senhores Leopoldo Alves Borges, Subprocurador Municipal e Fernando de Almeida Santos, Assessor Jurídico, de 30/05/2017.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12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lastRenderedPageBreak/>
        <w:t>(...)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12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Esta Unidade Técnica entende que o parecer jurídico sobre o aditamento de prorrogação do contrato de locação foi exarado pela Assessoria Jurídica no estrito exercício de sua competência, em atendimento à solicitação do Secretário Municipal da Saúde – f. 614, razão pela qual deixa de pugnar aos </w:t>
      </w:r>
      <w:proofErr w:type="spellStart"/>
      <w:r w:rsidRPr="00362B18">
        <w:rPr>
          <w:rFonts w:ascii="Arial" w:hAnsi="Arial" w:cs="Arial"/>
          <w:sz w:val="28"/>
          <w:szCs w:val="28"/>
        </w:rPr>
        <w:t>pareceristas</w:t>
      </w:r>
      <w:proofErr w:type="spellEnd"/>
      <w:r w:rsidRPr="00362B18">
        <w:rPr>
          <w:rFonts w:ascii="Arial" w:hAnsi="Arial" w:cs="Arial"/>
          <w:sz w:val="28"/>
          <w:szCs w:val="28"/>
        </w:rPr>
        <w:t xml:space="preserve"> responsabilidade pelo apontamento, visto que não lhes afetam o planejamento e a gestão da saúde.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12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(...)</w:t>
      </w:r>
    </w:p>
    <w:p w:rsidR="005C165F" w:rsidRPr="00362B18" w:rsidRDefault="005C165F" w:rsidP="005C165F">
      <w:pPr>
        <w:pStyle w:val="PargrafodaLista"/>
        <w:tabs>
          <w:tab w:val="left" w:pos="2268"/>
        </w:tabs>
        <w:spacing w:after="0"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</w:p>
    <w:p w:rsidR="005C165F" w:rsidRPr="00362B18" w:rsidRDefault="00696A6B" w:rsidP="00CA7BA2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 </w:t>
      </w:r>
      <w:r w:rsidR="005C165F" w:rsidRPr="00362B18">
        <w:rPr>
          <w:rFonts w:ascii="Arial" w:hAnsi="Arial" w:cs="Arial"/>
          <w:sz w:val="28"/>
          <w:szCs w:val="28"/>
        </w:rPr>
        <w:t xml:space="preserve">Em aditamento à representação inicialmente apresentada, o MPC </w:t>
      </w:r>
      <w:r w:rsidR="006D4DE3" w:rsidRPr="00362B18">
        <w:rPr>
          <w:rFonts w:ascii="Arial" w:hAnsi="Arial" w:cs="Arial"/>
          <w:sz w:val="28"/>
          <w:szCs w:val="28"/>
        </w:rPr>
        <w:t>assim se manifestou</w:t>
      </w:r>
      <w:r w:rsidR="005C165F" w:rsidRPr="00362B18">
        <w:rPr>
          <w:rFonts w:ascii="Arial" w:hAnsi="Arial" w:cs="Arial"/>
          <w:sz w:val="28"/>
          <w:szCs w:val="28"/>
        </w:rPr>
        <w:t xml:space="preserve"> em relação ao representado</w:t>
      </w:r>
      <w:r w:rsidR="00040555" w:rsidRPr="00362B18">
        <w:rPr>
          <w:rFonts w:ascii="Arial" w:hAnsi="Arial" w:cs="Arial"/>
          <w:sz w:val="28"/>
          <w:szCs w:val="28"/>
        </w:rPr>
        <w:t xml:space="preserve"> (peça 15 do SGAP)</w:t>
      </w:r>
      <w:r w:rsidR="005C165F" w:rsidRPr="00362B18">
        <w:rPr>
          <w:rFonts w:ascii="Arial" w:hAnsi="Arial" w:cs="Arial"/>
          <w:sz w:val="28"/>
          <w:szCs w:val="28"/>
        </w:rPr>
        <w:t xml:space="preserve">, </w:t>
      </w:r>
      <w:r w:rsidR="005C165F" w:rsidRPr="00362B18">
        <w:rPr>
          <w:rFonts w:ascii="Arial" w:hAnsi="Arial" w:cs="Arial"/>
          <w:i/>
          <w:sz w:val="28"/>
          <w:szCs w:val="28"/>
        </w:rPr>
        <w:t>in verbis</w:t>
      </w:r>
      <w:r w:rsidR="005C165F" w:rsidRPr="00362B18">
        <w:rPr>
          <w:rFonts w:ascii="Arial" w:hAnsi="Arial" w:cs="Arial"/>
          <w:sz w:val="28"/>
          <w:szCs w:val="28"/>
        </w:rPr>
        <w:t>:</w:t>
      </w:r>
    </w:p>
    <w:p w:rsidR="006D4DE3" w:rsidRPr="00362B18" w:rsidRDefault="006D4DE3" w:rsidP="006D4DE3">
      <w:pPr>
        <w:pStyle w:val="PargrafodaLista"/>
        <w:tabs>
          <w:tab w:val="left" w:pos="2268"/>
        </w:tabs>
        <w:spacing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(...)</w:t>
      </w:r>
    </w:p>
    <w:p w:rsidR="006D4DE3" w:rsidRPr="00362B18" w:rsidRDefault="006D4DE3" w:rsidP="006D4DE3">
      <w:pPr>
        <w:pStyle w:val="PargrafodaLista"/>
        <w:tabs>
          <w:tab w:val="left" w:pos="2268"/>
        </w:tabs>
        <w:spacing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Quanto à prorrogação do Contrato nº 265/2013 sem as devidas justificativas, aponta-se que os gestores são os responsáveis pela motivação da decisão, devendo demonstrar porque era necessário manter o contrato de locação por mais doze meses. Todavia, competia à assessoria jurídica verificar se tais justificativas foram apresentadas, o que foi realizado no caso. Neste sentido, mantem-se a responsabilização dos Srs. Leopoldo Alves Borges, Subprocurador Municipal, e Fernando de Almeida Santos, Assessor Jurídico, subscritores do parecer jurídico que autorizou a celebração do 4º TA (Fls. 614, 620/621).</w:t>
      </w:r>
    </w:p>
    <w:p w:rsidR="006D4DE3" w:rsidRPr="00362B18" w:rsidRDefault="006D4DE3" w:rsidP="006D4DE3">
      <w:pPr>
        <w:pStyle w:val="PargrafodaLista"/>
        <w:tabs>
          <w:tab w:val="left" w:pos="2268"/>
        </w:tabs>
        <w:spacing w:line="240" w:lineRule="auto"/>
        <w:ind w:left="2835" w:firstLine="851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(...)</w:t>
      </w:r>
    </w:p>
    <w:p w:rsidR="005C165F" w:rsidRPr="00362B18" w:rsidRDefault="005C165F" w:rsidP="005C165F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52F2A610" wp14:editId="4E63B22F">
            <wp:extent cx="5760085" cy="2240915"/>
            <wp:effectExtent l="0" t="0" r="0" b="698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65F" w:rsidRPr="00362B18" w:rsidRDefault="005C165F" w:rsidP="005C165F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0486B42" wp14:editId="12DE2D2A">
            <wp:extent cx="5760085" cy="232981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2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65F" w:rsidRPr="00362B18" w:rsidRDefault="005C165F" w:rsidP="005C165F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noProof/>
          <w:sz w:val="28"/>
          <w:szCs w:val="28"/>
        </w:rPr>
        <w:lastRenderedPageBreak/>
        <w:drawing>
          <wp:inline distT="0" distB="0" distL="0" distR="0" wp14:anchorId="3B640F53" wp14:editId="4A54FB03">
            <wp:extent cx="5760085" cy="4538345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53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165F" w:rsidRPr="00362B18" w:rsidRDefault="005C165F" w:rsidP="005C165F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</w:p>
    <w:p w:rsidR="005C165F" w:rsidRPr="00362B18" w:rsidRDefault="005C165F" w:rsidP="005C165F">
      <w:pPr>
        <w:pStyle w:val="PargrafodaLista"/>
        <w:tabs>
          <w:tab w:val="left" w:pos="2268"/>
        </w:tabs>
        <w:ind w:left="0"/>
        <w:contextualSpacing w:val="0"/>
        <w:rPr>
          <w:rFonts w:ascii="Arial" w:hAnsi="Arial" w:cs="Arial"/>
          <w:sz w:val="28"/>
          <w:szCs w:val="28"/>
        </w:rPr>
      </w:pPr>
    </w:p>
    <w:p w:rsidR="00BE5787" w:rsidRPr="00362B18" w:rsidRDefault="00BE5787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Não obstante a relevância dos fatos descritos na representação do MPC e certamente o árduo trabalho exigido do gabinete do ilustre Procurador que a subscreve, não há irregularidade alguma no parecer jurídico emitido pelo advogado representado, senão pelo único fato de estar inserido no </w:t>
      </w:r>
      <w:r w:rsidR="00040555" w:rsidRPr="00362B18">
        <w:rPr>
          <w:rFonts w:ascii="Arial" w:hAnsi="Arial" w:cs="Arial"/>
          <w:sz w:val="28"/>
          <w:szCs w:val="28"/>
        </w:rPr>
        <w:t>lamentável</w:t>
      </w:r>
      <w:r w:rsidRPr="00362B18">
        <w:rPr>
          <w:rFonts w:ascii="Arial" w:hAnsi="Arial" w:cs="Arial"/>
          <w:sz w:val="28"/>
          <w:szCs w:val="28"/>
        </w:rPr>
        <w:t xml:space="preserve"> contexto narrado na inicial e no seu aditamento.</w:t>
      </w:r>
    </w:p>
    <w:p w:rsidR="00000881" w:rsidRPr="00362B18" w:rsidRDefault="00BE5787" w:rsidP="00562376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Como bem </w:t>
      </w:r>
      <w:r w:rsidR="00562376" w:rsidRPr="00362B18">
        <w:rPr>
          <w:rFonts w:ascii="Arial" w:hAnsi="Arial" w:cs="Arial"/>
          <w:sz w:val="28"/>
          <w:szCs w:val="28"/>
        </w:rPr>
        <w:t>destacou</w:t>
      </w:r>
      <w:r w:rsidRPr="00362B18">
        <w:rPr>
          <w:rFonts w:ascii="Arial" w:hAnsi="Arial" w:cs="Arial"/>
          <w:sz w:val="28"/>
          <w:szCs w:val="28"/>
        </w:rPr>
        <w:t xml:space="preserve"> a Unidade Técnica desse egrégio Tribunal, </w:t>
      </w:r>
      <w:r w:rsidRPr="00362B18">
        <w:rPr>
          <w:rFonts w:ascii="Arial" w:hAnsi="Arial" w:cs="Arial"/>
          <w:i/>
          <w:sz w:val="28"/>
          <w:szCs w:val="28"/>
        </w:rPr>
        <w:t xml:space="preserve">não </w:t>
      </w:r>
      <w:r w:rsidR="004F2362" w:rsidRPr="00362B18">
        <w:rPr>
          <w:rFonts w:ascii="Arial" w:hAnsi="Arial" w:cs="Arial"/>
          <w:i/>
          <w:sz w:val="28"/>
          <w:szCs w:val="28"/>
        </w:rPr>
        <w:t>afeta</w:t>
      </w:r>
      <w:r w:rsidRPr="00362B18">
        <w:rPr>
          <w:rFonts w:ascii="Arial" w:hAnsi="Arial" w:cs="Arial"/>
          <w:i/>
          <w:sz w:val="28"/>
          <w:szCs w:val="28"/>
        </w:rPr>
        <w:t xml:space="preserve"> ao parecerista </w:t>
      </w:r>
      <w:r w:rsidR="00562376" w:rsidRPr="00362B18">
        <w:rPr>
          <w:rFonts w:ascii="Arial" w:hAnsi="Arial" w:cs="Arial"/>
          <w:i/>
          <w:sz w:val="28"/>
          <w:szCs w:val="28"/>
        </w:rPr>
        <w:t xml:space="preserve">o planejamento </w:t>
      </w:r>
      <w:r w:rsidR="004F2362" w:rsidRPr="00362B18">
        <w:rPr>
          <w:rFonts w:ascii="Arial" w:hAnsi="Arial" w:cs="Arial"/>
          <w:i/>
          <w:sz w:val="28"/>
          <w:szCs w:val="28"/>
        </w:rPr>
        <w:t>e</w:t>
      </w:r>
      <w:r w:rsidR="00562376" w:rsidRPr="00362B18">
        <w:rPr>
          <w:rFonts w:ascii="Arial" w:hAnsi="Arial" w:cs="Arial"/>
          <w:i/>
          <w:sz w:val="28"/>
          <w:szCs w:val="28"/>
        </w:rPr>
        <w:t xml:space="preserve"> </w:t>
      </w:r>
      <w:r w:rsidR="00000881" w:rsidRPr="00362B18">
        <w:rPr>
          <w:rFonts w:ascii="Arial" w:hAnsi="Arial" w:cs="Arial"/>
          <w:i/>
          <w:sz w:val="28"/>
          <w:szCs w:val="28"/>
        </w:rPr>
        <w:t>a gestão da saúde</w:t>
      </w:r>
      <w:r w:rsidR="00562376" w:rsidRPr="00362B18">
        <w:rPr>
          <w:rFonts w:ascii="Arial" w:hAnsi="Arial" w:cs="Arial"/>
          <w:sz w:val="28"/>
          <w:szCs w:val="28"/>
        </w:rPr>
        <w:t>. Dessa forma não</w:t>
      </w:r>
      <w:r w:rsidR="00000881" w:rsidRPr="00362B18">
        <w:rPr>
          <w:rFonts w:ascii="Arial" w:hAnsi="Arial" w:cs="Arial"/>
          <w:sz w:val="28"/>
          <w:szCs w:val="28"/>
        </w:rPr>
        <w:t xml:space="preserve"> </w:t>
      </w:r>
      <w:r w:rsidR="00562376" w:rsidRPr="00362B18">
        <w:rPr>
          <w:rFonts w:ascii="Arial" w:hAnsi="Arial" w:cs="Arial"/>
          <w:sz w:val="28"/>
          <w:szCs w:val="28"/>
        </w:rPr>
        <w:t xml:space="preserve">lhe compete </w:t>
      </w:r>
      <w:r w:rsidR="004F2362" w:rsidRPr="00362B18">
        <w:rPr>
          <w:rFonts w:ascii="Arial" w:hAnsi="Arial" w:cs="Arial"/>
          <w:sz w:val="28"/>
          <w:szCs w:val="28"/>
        </w:rPr>
        <w:t xml:space="preserve">também </w:t>
      </w:r>
      <w:r w:rsidR="00562376" w:rsidRPr="00362B18">
        <w:rPr>
          <w:rFonts w:ascii="Arial" w:hAnsi="Arial" w:cs="Arial"/>
          <w:sz w:val="28"/>
          <w:szCs w:val="28"/>
        </w:rPr>
        <w:t xml:space="preserve">embrenhar-se em investigação </w:t>
      </w:r>
      <w:r w:rsidR="00562376" w:rsidRPr="00362B18">
        <w:rPr>
          <w:rFonts w:ascii="Arial" w:hAnsi="Arial" w:cs="Arial"/>
          <w:sz w:val="28"/>
          <w:szCs w:val="28"/>
        </w:rPr>
        <w:lastRenderedPageBreak/>
        <w:t xml:space="preserve">acerca da veracidade das motivações que lhe são </w:t>
      </w:r>
      <w:r w:rsidR="004F2362" w:rsidRPr="00362B18">
        <w:rPr>
          <w:rFonts w:ascii="Arial" w:hAnsi="Arial" w:cs="Arial"/>
          <w:sz w:val="28"/>
          <w:szCs w:val="28"/>
        </w:rPr>
        <w:t>apresentadas</w:t>
      </w:r>
      <w:r w:rsidR="00562376" w:rsidRPr="00362B18">
        <w:rPr>
          <w:rFonts w:ascii="Arial" w:hAnsi="Arial" w:cs="Arial"/>
          <w:sz w:val="28"/>
          <w:szCs w:val="28"/>
        </w:rPr>
        <w:t xml:space="preserve"> </w:t>
      </w:r>
      <w:r w:rsidR="004F2362" w:rsidRPr="00362B18">
        <w:rPr>
          <w:rFonts w:ascii="Arial" w:hAnsi="Arial" w:cs="Arial"/>
          <w:sz w:val="28"/>
          <w:szCs w:val="28"/>
        </w:rPr>
        <w:t>pela</w:t>
      </w:r>
      <w:r w:rsidR="00562376" w:rsidRPr="00362B18">
        <w:rPr>
          <w:rFonts w:ascii="Arial" w:hAnsi="Arial" w:cs="Arial"/>
          <w:sz w:val="28"/>
          <w:szCs w:val="28"/>
        </w:rPr>
        <w:t xml:space="preserve"> autoridade pública </w:t>
      </w:r>
      <w:r w:rsidR="004F2362" w:rsidRPr="00362B18">
        <w:rPr>
          <w:rFonts w:ascii="Arial" w:hAnsi="Arial" w:cs="Arial"/>
          <w:sz w:val="28"/>
          <w:szCs w:val="28"/>
        </w:rPr>
        <w:t>que requisita o parecer jurídico</w:t>
      </w:r>
      <w:r w:rsidR="00000881" w:rsidRPr="00362B18">
        <w:rPr>
          <w:rFonts w:ascii="Arial" w:hAnsi="Arial" w:cs="Arial"/>
          <w:sz w:val="28"/>
          <w:szCs w:val="28"/>
        </w:rPr>
        <w:t>.</w:t>
      </w:r>
    </w:p>
    <w:p w:rsidR="00000881" w:rsidRPr="00362B18" w:rsidRDefault="00000881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Não </w:t>
      </w:r>
      <w:r w:rsidR="004F2362" w:rsidRPr="00362B18">
        <w:rPr>
          <w:rFonts w:ascii="Arial" w:hAnsi="Arial" w:cs="Arial"/>
          <w:sz w:val="28"/>
          <w:szCs w:val="28"/>
        </w:rPr>
        <w:t>ocorre, portanto,</w:t>
      </w:r>
      <w:r w:rsidRPr="00362B18">
        <w:rPr>
          <w:rFonts w:ascii="Arial" w:hAnsi="Arial" w:cs="Arial"/>
          <w:sz w:val="28"/>
          <w:szCs w:val="28"/>
        </w:rPr>
        <w:t xml:space="preserve"> deficiência técnica, tampouco erro </w:t>
      </w:r>
      <w:r w:rsidR="00040555" w:rsidRPr="00362B18">
        <w:rPr>
          <w:rFonts w:ascii="Arial" w:hAnsi="Arial" w:cs="Arial"/>
          <w:sz w:val="28"/>
          <w:szCs w:val="28"/>
        </w:rPr>
        <w:t xml:space="preserve">grave ou </w:t>
      </w:r>
      <w:r w:rsidRPr="00362B18">
        <w:rPr>
          <w:rFonts w:ascii="Arial" w:hAnsi="Arial" w:cs="Arial"/>
          <w:sz w:val="28"/>
          <w:szCs w:val="28"/>
        </w:rPr>
        <w:t>grosseiro no parecer jurídico analisado</w:t>
      </w:r>
      <w:r w:rsidR="004F2362" w:rsidRPr="00362B18">
        <w:rPr>
          <w:rFonts w:ascii="Arial" w:hAnsi="Arial" w:cs="Arial"/>
          <w:sz w:val="28"/>
          <w:szCs w:val="28"/>
        </w:rPr>
        <w:t xml:space="preserve"> pelo MPC</w:t>
      </w:r>
      <w:r w:rsidRPr="00362B18">
        <w:rPr>
          <w:rFonts w:ascii="Arial" w:hAnsi="Arial" w:cs="Arial"/>
          <w:sz w:val="28"/>
          <w:szCs w:val="28"/>
        </w:rPr>
        <w:t>.</w:t>
      </w:r>
    </w:p>
    <w:p w:rsidR="00053BC0" w:rsidRPr="00362B18" w:rsidRDefault="00000881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A prorrogação contratual foi analisada de acordo com as bases do contrato primitivo </w:t>
      </w:r>
      <w:r w:rsidR="00836D23" w:rsidRPr="00362B18">
        <w:rPr>
          <w:rFonts w:ascii="Arial" w:hAnsi="Arial" w:cs="Arial"/>
          <w:sz w:val="28"/>
          <w:szCs w:val="28"/>
        </w:rPr>
        <w:t>(</w:t>
      </w:r>
      <w:r w:rsidRPr="00362B18">
        <w:rPr>
          <w:rFonts w:ascii="Arial" w:hAnsi="Arial" w:cs="Arial"/>
          <w:sz w:val="28"/>
          <w:szCs w:val="28"/>
        </w:rPr>
        <w:t>necessidade</w:t>
      </w:r>
      <w:r w:rsidR="00836D23" w:rsidRPr="00362B18">
        <w:rPr>
          <w:rFonts w:ascii="Arial" w:hAnsi="Arial" w:cs="Arial"/>
          <w:sz w:val="28"/>
          <w:szCs w:val="28"/>
        </w:rPr>
        <w:t>,</w:t>
      </w:r>
      <w:r w:rsidRPr="00362B18">
        <w:rPr>
          <w:rFonts w:ascii="Arial" w:hAnsi="Arial" w:cs="Arial"/>
          <w:sz w:val="28"/>
          <w:szCs w:val="28"/>
        </w:rPr>
        <w:t xml:space="preserve"> adequação </w:t>
      </w:r>
      <w:r w:rsidR="00836D23" w:rsidRPr="00362B18">
        <w:rPr>
          <w:rFonts w:ascii="Arial" w:hAnsi="Arial" w:cs="Arial"/>
          <w:sz w:val="28"/>
          <w:szCs w:val="28"/>
        </w:rPr>
        <w:t>e compatibilidade do aluguel)</w:t>
      </w:r>
      <w:r w:rsidR="006A25FC" w:rsidRPr="00362B18">
        <w:rPr>
          <w:rStyle w:val="Refdenotaderodap"/>
          <w:rFonts w:ascii="Arial" w:hAnsi="Arial" w:cs="Arial"/>
          <w:sz w:val="28"/>
          <w:szCs w:val="28"/>
        </w:rPr>
        <w:footnoteReference w:id="1"/>
      </w:r>
      <w:r w:rsidR="00053BC0" w:rsidRPr="00362B18">
        <w:rPr>
          <w:rFonts w:ascii="Arial" w:hAnsi="Arial" w:cs="Arial"/>
          <w:sz w:val="28"/>
          <w:szCs w:val="28"/>
        </w:rPr>
        <w:t>,</w:t>
      </w:r>
      <w:r w:rsidRPr="00362B18">
        <w:rPr>
          <w:rFonts w:ascii="Arial" w:hAnsi="Arial" w:cs="Arial"/>
          <w:sz w:val="28"/>
          <w:szCs w:val="28"/>
        </w:rPr>
        <w:t xml:space="preserve"> </w:t>
      </w:r>
      <w:r w:rsidR="00836D23" w:rsidRPr="00362B18">
        <w:rPr>
          <w:rFonts w:ascii="Arial" w:hAnsi="Arial" w:cs="Arial"/>
          <w:sz w:val="28"/>
          <w:szCs w:val="28"/>
        </w:rPr>
        <w:t>re</w:t>
      </w:r>
      <w:r w:rsidR="00053BC0" w:rsidRPr="00362B18">
        <w:rPr>
          <w:rFonts w:ascii="Arial" w:hAnsi="Arial" w:cs="Arial"/>
          <w:sz w:val="28"/>
          <w:szCs w:val="28"/>
        </w:rPr>
        <w:t>afirmadas expressamente pelo seu gestor</w:t>
      </w:r>
      <w:r w:rsidR="00836D23" w:rsidRPr="00362B18">
        <w:rPr>
          <w:rFonts w:ascii="Arial" w:hAnsi="Arial" w:cs="Arial"/>
          <w:sz w:val="28"/>
          <w:szCs w:val="28"/>
        </w:rPr>
        <w:t xml:space="preserve"> em justificativa formal</w:t>
      </w:r>
      <w:r w:rsidR="004F2362" w:rsidRPr="00362B18">
        <w:rPr>
          <w:rFonts w:ascii="Arial" w:hAnsi="Arial" w:cs="Arial"/>
          <w:sz w:val="28"/>
          <w:szCs w:val="28"/>
        </w:rPr>
        <w:t>, independentemente de ter sido e</w:t>
      </w:r>
      <w:r w:rsidR="00BB123A" w:rsidRPr="00362B18">
        <w:rPr>
          <w:rFonts w:ascii="Arial" w:hAnsi="Arial" w:cs="Arial"/>
          <w:sz w:val="28"/>
          <w:szCs w:val="28"/>
        </w:rPr>
        <w:t>st</w:t>
      </w:r>
      <w:r w:rsidR="004F2362" w:rsidRPr="00362B18">
        <w:rPr>
          <w:rFonts w:ascii="Arial" w:hAnsi="Arial" w:cs="Arial"/>
          <w:sz w:val="28"/>
          <w:szCs w:val="28"/>
        </w:rPr>
        <w:t>a prolixa ou sucinta.</w:t>
      </w:r>
    </w:p>
    <w:p w:rsidR="009419AB" w:rsidRPr="00362B18" w:rsidRDefault="004F2362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Sobre os contratos de locação celebrados pela Administração Pública, a</w:t>
      </w:r>
      <w:r w:rsidR="009419AB" w:rsidRPr="00362B18">
        <w:rPr>
          <w:rFonts w:ascii="Arial" w:hAnsi="Arial" w:cs="Arial"/>
          <w:sz w:val="28"/>
          <w:szCs w:val="28"/>
        </w:rPr>
        <w:t xml:space="preserve"> jurispru</w:t>
      </w:r>
      <w:r w:rsidRPr="00362B18">
        <w:rPr>
          <w:rFonts w:ascii="Arial" w:hAnsi="Arial" w:cs="Arial"/>
          <w:sz w:val="28"/>
          <w:szCs w:val="28"/>
        </w:rPr>
        <w:t xml:space="preserve">dência do egrégio </w:t>
      </w:r>
      <w:r w:rsidRPr="00362B18">
        <w:rPr>
          <w:rFonts w:ascii="Arial" w:hAnsi="Arial" w:cs="Arial"/>
          <w:b/>
          <w:sz w:val="28"/>
          <w:szCs w:val="28"/>
        </w:rPr>
        <w:t>TCEMG</w:t>
      </w:r>
      <w:r w:rsidRPr="00362B18">
        <w:rPr>
          <w:rFonts w:ascii="Arial" w:hAnsi="Arial" w:cs="Arial"/>
          <w:sz w:val="28"/>
          <w:szCs w:val="28"/>
        </w:rPr>
        <w:t xml:space="preserve"> é clara</w:t>
      </w:r>
      <w:r w:rsidR="009419AB" w:rsidRPr="00362B18">
        <w:rPr>
          <w:rFonts w:ascii="Arial" w:hAnsi="Arial" w:cs="Arial"/>
          <w:sz w:val="28"/>
          <w:szCs w:val="28"/>
        </w:rPr>
        <w:t xml:space="preserve"> ao assim dispor nos seguintes enunciados:</w:t>
      </w:r>
    </w:p>
    <w:p w:rsidR="009419AB" w:rsidRPr="00362B18" w:rsidRDefault="009419AB" w:rsidP="009419AB">
      <w:pPr>
        <w:pStyle w:val="PargrafodaLista"/>
        <w:spacing w:after="12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b/>
          <w:sz w:val="28"/>
          <w:szCs w:val="28"/>
        </w:rPr>
        <w:t>Súmula n. 47</w:t>
      </w:r>
      <w:r w:rsidRPr="00362B18">
        <w:rPr>
          <w:rFonts w:ascii="Arial" w:hAnsi="Arial" w:cs="Arial"/>
          <w:sz w:val="28"/>
          <w:szCs w:val="28"/>
        </w:rPr>
        <w:t>: A validade da prorrogação dos contratos, convênios, acordos ou ajustes, nos limites estabelecidos em lei, dependerá de justificativa por escrito, de prévia autorização da autoridade competente e de prévia formalização mediante termo aditivo específico, excetuando-se os contratos de locação regidos por norma federal própria.</w:t>
      </w:r>
    </w:p>
    <w:p w:rsidR="009419AB" w:rsidRPr="00362B18" w:rsidRDefault="00407D4E" w:rsidP="009419AB">
      <w:pPr>
        <w:pStyle w:val="PargrafodaLista"/>
        <w:tabs>
          <w:tab w:val="left" w:pos="2268"/>
        </w:tabs>
        <w:spacing w:after="12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b/>
          <w:sz w:val="28"/>
          <w:szCs w:val="28"/>
        </w:rPr>
        <w:pict>
          <v:rect id="_x0000_i1025" style="width:0;height:1.5pt" o:hralign="center" o:hrstd="t" o:hr="t" fillcolor="#a0a0a0" stroked="f"/>
        </w:pict>
      </w:r>
      <w:r w:rsidR="009419AB" w:rsidRPr="00362B18">
        <w:rPr>
          <w:rFonts w:ascii="Arial" w:hAnsi="Arial" w:cs="Arial"/>
          <w:b/>
          <w:sz w:val="28"/>
          <w:szCs w:val="28"/>
        </w:rPr>
        <w:t xml:space="preserve">Súmula n. 59: </w:t>
      </w:r>
      <w:r w:rsidR="009419AB" w:rsidRPr="00362B18">
        <w:rPr>
          <w:rFonts w:ascii="Arial" w:hAnsi="Arial" w:cs="Arial"/>
          <w:sz w:val="28"/>
          <w:szCs w:val="28"/>
        </w:rPr>
        <w:t xml:space="preserve">Em se tratando de relação contratual - contrato de locação de bem imóvel - submetida à legislação federal específica, que admite sua prorrogação, independentemente de formalização em instrumento próprio, salvo expressa manifestação em contrário de uma das partes, não é imprescindível termo aditivo para </w:t>
      </w:r>
      <w:r w:rsidR="009419AB" w:rsidRPr="00362B18">
        <w:rPr>
          <w:rFonts w:ascii="Arial" w:hAnsi="Arial" w:cs="Arial"/>
          <w:sz w:val="28"/>
          <w:szCs w:val="28"/>
        </w:rPr>
        <w:lastRenderedPageBreak/>
        <w:t>efeito de anotação da despesa e controle da legalidade da execução financeira e orçamentária.</w:t>
      </w:r>
    </w:p>
    <w:p w:rsidR="009419AB" w:rsidRPr="00362B18" w:rsidRDefault="009419AB" w:rsidP="009419AB">
      <w:pPr>
        <w:pStyle w:val="PargrafodaLista"/>
        <w:tabs>
          <w:tab w:val="left" w:pos="2268"/>
        </w:tabs>
        <w:spacing w:after="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</w:p>
    <w:p w:rsidR="00836D23" w:rsidRPr="00362B18" w:rsidRDefault="004F2362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Perceba ainda que n</w:t>
      </w:r>
      <w:r w:rsidR="00053BC0" w:rsidRPr="00362B18">
        <w:rPr>
          <w:rFonts w:ascii="Arial" w:hAnsi="Arial" w:cs="Arial"/>
          <w:sz w:val="28"/>
          <w:szCs w:val="28"/>
        </w:rPr>
        <w:t xml:space="preserve">ão se pode exigir do parecerista conhecimento ou conduta proativa no sentido de </w:t>
      </w:r>
      <w:r w:rsidR="00587651" w:rsidRPr="00362B18">
        <w:rPr>
          <w:rFonts w:ascii="Arial" w:hAnsi="Arial" w:cs="Arial"/>
          <w:sz w:val="28"/>
          <w:szCs w:val="28"/>
        </w:rPr>
        <w:t>checar</w:t>
      </w:r>
      <w:r w:rsidR="00053BC0" w:rsidRPr="00362B18">
        <w:rPr>
          <w:rFonts w:ascii="Arial" w:hAnsi="Arial" w:cs="Arial"/>
          <w:sz w:val="28"/>
          <w:szCs w:val="28"/>
        </w:rPr>
        <w:t xml:space="preserve"> </w:t>
      </w:r>
      <w:r w:rsidR="00587651" w:rsidRPr="00362B18">
        <w:rPr>
          <w:rFonts w:ascii="Arial" w:hAnsi="Arial" w:cs="Arial"/>
          <w:sz w:val="28"/>
          <w:szCs w:val="28"/>
        </w:rPr>
        <w:t xml:space="preserve">a ocorrência de </w:t>
      </w:r>
      <w:r w:rsidR="00053BC0" w:rsidRPr="00362B18">
        <w:rPr>
          <w:rFonts w:ascii="Arial" w:hAnsi="Arial" w:cs="Arial"/>
          <w:sz w:val="28"/>
          <w:szCs w:val="28"/>
        </w:rPr>
        <w:t>fatos</w:t>
      </w:r>
      <w:r w:rsidR="00587651" w:rsidRPr="00362B18">
        <w:rPr>
          <w:rFonts w:ascii="Arial" w:hAnsi="Arial" w:cs="Arial"/>
          <w:sz w:val="28"/>
          <w:szCs w:val="28"/>
        </w:rPr>
        <w:t xml:space="preserve"> alheios aos formalmente apresentados pela autoridade consulente e gestora do contrato</w:t>
      </w:r>
      <w:r w:rsidR="00836D23" w:rsidRPr="00362B18">
        <w:rPr>
          <w:rFonts w:ascii="Arial" w:hAnsi="Arial" w:cs="Arial"/>
          <w:sz w:val="28"/>
          <w:szCs w:val="28"/>
        </w:rPr>
        <w:t>.</w:t>
      </w:r>
    </w:p>
    <w:p w:rsidR="00587651" w:rsidRPr="00362B18" w:rsidRDefault="00587651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Nesse sentido ensina MARÇAL JUSTEN FILHO</w:t>
      </w:r>
      <w:r w:rsidRPr="00362B18">
        <w:rPr>
          <w:rStyle w:val="Refdenotaderodap"/>
          <w:rFonts w:ascii="Arial" w:hAnsi="Arial" w:cs="Arial"/>
          <w:sz w:val="28"/>
          <w:szCs w:val="28"/>
        </w:rPr>
        <w:footnoteReference w:id="2"/>
      </w:r>
      <w:r w:rsidRPr="00362B18">
        <w:rPr>
          <w:rFonts w:ascii="Arial" w:hAnsi="Arial" w:cs="Arial"/>
          <w:sz w:val="28"/>
          <w:szCs w:val="28"/>
        </w:rPr>
        <w:t>:</w:t>
      </w:r>
    </w:p>
    <w:p w:rsidR="00587651" w:rsidRPr="00362B18" w:rsidRDefault="00587651" w:rsidP="00587651">
      <w:pPr>
        <w:pStyle w:val="PargrafodaLista"/>
        <w:tabs>
          <w:tab w:val="left" w:pos="2268"/>
        </w:tabs>
        <w:spacing w:after="12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O parecerista jurídico não responde por ações e omissões imputáveis exclusivamente a outros agentes administrativos. Assim, não é responsabilizável o assessor jurídico quando os fatos expostos no processado não correspondem à realidade. O parecerista fornece uma manifestação jurídica em vista dos elementos existentes. Não é cabível a responsabilização pessoal do parecerista nos casos em que a situação real era diferente daquela submetida à sua avaliação, não existindo meio de o parecerista identificar o defeito. Se o parecer fornecido era compatível com a consulta submetida, a revelação dos defeitos quanto à narrativa deve gerar a responsabilização daquele que forneceu ao consultor jurídico a versão incorreta dos fatos.</w:t>
      </w:r>
    </w:p>
    <w:p w:rsidR="00587651" w:rsidRPr="00362B18" w:rsidRDefault="00587651" w:rsidP="00587651">
      <w:pPr>
        <w:pStyle w:val="PargrafodaLista"/>
        <w:tabs>
          <w:tab w:val="left" w:pos="2268"/>
        </w:tabs>
        <w:spacing w:after="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</w:p>
    <w:p w:rsidR="006A25FC" w:rsidRPr="00362B18" w:rsidRDefault="00D20931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Face à</w:t>
      </w:r>
      <w:r w:rsidR="00F915FD" w:rsidRPr="00362B18">
        <w:rPr>
          <w:rFonts w:ascii="Arial" w:hAnsi="Arial" w:cs="Arial"/>
          <w:sz w:val="28"/>
          <w:szCs w:val="28"/>
        </w:rPr>
        <w:t xml:space="preserve"> </w:t>
      </w:r>
      <w:r w:rsidR="007258A4" w:rsidRPr="00362B18">
        <w:rPr>
          <w:rFonts w:ascii="Arial" w:hAnsi="Arial" w:cs="Arial"/>
          <w:sz w:val="28"/>
          <w:szCs w:val="28"/>
        </w:rPr>
        <w:t xml:space="preserve">exclusiva </w:t>
      </w:r>
      <w:r w:rsidR="00F915FD" w:rsidRPr="00362B18">
        <w:rPr>
          <w:rFonts w:ascii="Arial" w:hAnsi="Arial" w:cs="Arial"/>
          <w:sz w:val="28"/>
          <w:szCs w:val="28"/>
        </w:rPr>
        <w:t>responsabilidade da autoridade gestora do contrato</w:t>
      </w:r>
      <w:r w:rsidRPr="00362B18">
        <w:rPr>
          <w:rFonts w:ascii="Arial" w:hAnsi="Arial" w:cs="Arial"/>
          <w:sz w:val="28"/>
          <w:szCs w:val="28"/>
        </w:rPr>
        <w:t>,</w:t>
      </w:r>
      <w:r w:rsidR="007258A4" w:rsidRPr="00362B18">
        <w:rPr>
          <w:rFonts w:ascii="Arial" w:hAnsi="Arial" w:cs="Arial"/>
          <w:sz w:val="28"/>
          <w:szCs w:val="28"/>
        </w:rPr>
        <w:t xml:space="preserve"> </w:t>
      </w:r>
      <w:r w:rsidR="00F915FD" w:rsidRPr="00362B18">
        <w:rPr>
          <w:rFonts w:ascii="Arial" w:hAnsi="Arial" w:cs="Arial"/>
          <w:sz w:val="28"/>
          <w:szCs w:val="28"/>
        </w:rPr>
        <w:t>é r</w:t>
      </w:r>
      <w:r w:rsidR="00587651" w:rsidRPr="00362B18">
        <w:rPr>
          <w:rFonts w:ascii="Arial" w:hAnsi="Arial" w:cs="Arial"/>
          <w:sz w:val="28"/>
          <w:szCs w:val="28"/>
        </w:rPr>
        <w:t xml:space="preserve">elevante anotar que </w:t>
      </w:r>
      <w:r w:rsidR="00587651" w:rsidRPr="00362B18">
        <w:rPr>
          <w:rFonts w:ascii="Arial" w:hAnsi="Arial" w:cs="Arial"/>
          <w:i/>
          <w:sz w:val="28"/>
          <w:szCs w:val="28"/>
        </w:rPr>
        <w:t xml:space="preserve">“(...) o administrador vincula-se aos motivos elencados para a prática do ato administrativo. Nesse contexto, há vício de legalidade não apenas quando inexistentes ou inverídicos os motivos suscitados pela administração, mas também </w:t>
      </w:r>
      <w:r w:rsidR="00587651" w:rsidRPr="00362B18">
        <w:rPr>
          <w:rFonts w:ascii="Arial" w:hAnsi="Arial" w:cs="Arial"/>
          <w:i/>
          <w:sz w:val="28"/>
          <w:szCs w:val="28"/>
        </w:rPr>
        <w:lastRenderedPageBreak/>
        <w:t>quando verificada a falta de congruência entre as razões explicitadas no ato e o resultado nele contido.”</w:t>
      </w:r>
      <w:r w:rsidR="00587651" w:rsidRPr="00362B18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587651" w:rsidRPr="00362B18">
        <w:rPr>
          <w:rFonts w:ascii="Arial" w:hAnsi="Arial" w:cs="Arial"/>
          <w:sz w:val="28"/>
          <w:szCs w:val="28"/>
          <w:vertAlign w:val="superscript"/>
        </w:rPr>
        <w:footnoteReference w:id="3"/>
      </w:r>
    </w:p>
    <w:p w:rsidR="007258A4" w:rsidRPr="00362B18" w:rsidRDefault="004F2362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Em conclusão</w:t>
      </w:r>
      <w:r w:rsidR="00F915FD" w:rsidRPr="00362B18">
        <w:rPr>
          <w:rFonts w:ascii="Arial" w:hAnsi="Arial" w:cs="Arial"/>
          <w:sz w:val="28"/>
          <w:szCs w:val="28"/>
        </w:rPr>
        <w:t xml:space="preserve">, </w:t>
      </w:r>
      <w:r w:rsidRPr="00362B18">
        <w:rPr>
          <w:rFonts w:ascii="Arial" w:hAnsi="Arial" w:cs="Arial"/>
          <w:sz w:val="28"/>
          <w:szCs w:val="28"/>
        </w:rPr>
        <w:t xml:space="preserve">verifica-se que </w:t>
      </w:r>
      <w:r w:rsidR="00F915FD" w:rsidRPr="00362B18">
        <w:rPr>
          <w:rFonts w:ascii="Arial" w:hAnsi="Arial" w:cs="Arial"/>
          <w:sz w:val="28"/>
          <w:szCs w:val="28"/>
        </w:rPr>
        <w:t xml:space="preserve">além de vincular indevidamente o parecerista </w:t>
      </w:r>
      <w:r w:rsidR="00040555" w:rsidRPr="00362B18">
        <w:rPr>
          <w:rFonts w:ascii="Arial" w:hAnsi="Arial" w:cs="Arial"/>
          <w:sz w:val="28"/>
          <w:szCs w:val="28"/>
        </w:rPr>
        <w:t>a</w:t>
      </w:r>
      <w:r w:rsidR="00F915FD" w:rsidRPr="00362B18">
        <w:rPr>
          <w:rFonts w:ascii="Arial" w:hAnsi="Arial" w:cs="Arial"/>
          <w:sz w:val="28"/>
          <w:szCs w:val="28"/>
        </w:rPr>
        <w:t xml:space="preserve"> atos de gestão que não lhe são próprios</w:t>
      </w:r>
      <w:r w:rsidR="007258A4" w:rsidRPr="00362B18">
        <w:rPr>
          <w:rFonts w:ascii="Arial" w:hAnsi="Arial" w:cs="Arial"/>
          <w:sz w:val="28"/>
          <w:szCs w:val="28"/>
        </w:rPr>
        <w:t xml:space="preserve">, a representação ministerial e seu aditamento não apontam a ocorrência de erro </w:t>
      </w:r>
      <w:r w:rsidR="009C016E" w:rsidRPr="00362B18">
        <w:rPr>
          <w:rFonts w:ascii="Arial" w:hAnsi="Arial" w:cs="Arial"/>
          <w:sz w:val="28"/>
          <w:szCs w:val="28"/>
        </w:rPr>
        <w:t xml:space="preserve">grave ou </w:t>
      </w:r>
      <w:r w:rsidR="007258A4" w:rsidRPr="00362B18">
        <w:rPr>
          <w:rFonts w:ascii="Arial" w:hAnsi="Arial" w:cs="Arial"/>
          <w:sz w:val="28"/>
          <w:szCs w:val="28"/>
        </w:rPr>
        <w:t>grosseiro no parecer jurídico, requisito</w:t>
      </w:r>
      <w:r w:rsidR="009C016E" w:rsidRPr="00362B18">
        <w:rPr>
          <w:rFonts w:ascii="Arial" w:hAnsi="Arial" w:cs="Arial"/>
          <w:sz w:val="28"/>
          <w:szCs w:val="28"/>
        </w:rPr>
        <w:t>s</w:t>
      </w:r>
      <w:r w:rsidR="007258A4" w:rsidRPr="00362B18">
        <w:rPr>
          <w:rFonts w:ascii="Arial" w:hAnsi="Arial" w:cs="Arial"/>
          <w:sz w:val="28"/>
          <w:szCs w:val="28"/>
        </w:rPr>
        <w:t xml:space="preserve"> exigido</w:t>
      </w:r>
      <w:r w:rsidR="009C016E" w:rsidRPr="00362B18">
        <w:rPr>
          <w:rFonts w:ascii="Arial" w:hAnsi="Arial" w:cs="Arial"/>
          <w:sz w:val="28"/>
          <w:szCs w:val="28"/>
        </w:rPr>
        <w:t>s</w:t>
      </w:r>
      <w:r w:rsidR="007258A4" w:rsidRPr="00362B18">
        <w:rPr>
          <w:rFonts w:ascii="Arial" w:hAnsi="Arial" w:cs="Arial"/>
          <w:sz w:val="28"/>
          <w:szCs w:val="28"/>
        </w:rPr>
        <w:t xml:space="preserve"> para a responsabilização do seu emissor, de acordo com o </w:t>
      </w:r>
      <w:r w:rsidR="007258A4" w:rsidRPr="00362B18">
        <w:rPr>
          <w:rFonts w:ascii="Arial" w:hAnsi="Arial" w:cs="Arial"/>
          <w:smallCaps/>
          <w:sz w:val="28"/>
          <w:szCs w:val="28"/>
        </w:rPr>
        <w:t>Supremo Tribunal Federal</w:t>
      </w:r>
      <w:r w:rsidR="009C016E" w:rsidRPr="00362B18">
        <w:rPr>
          <w:rFonts w:ascii="Arial" w:hAnsi="Arial" w:cs="Arial"/>
          <w:sz w:val="28"/>
          <w:szCs w:val="28"/>
        </w:rPr>
        <w:t xml:space="preserve">, </w:t>
      </w:r>
      <w:r w:rsidR="009419AB" w:rsidRPr="00362B18">
        <w:rPr>
          <w:rFonts w:ascii="Arial" w:hAnsi="Arial" w:cs="Arial"/>
          <w:sz w:val="28"/>
          <w:szCs w:val="28"/>
        </w:rPr>
        <w:t>a exemplo d</w:t>
      </w:r>
      <w:r w:rsidR="009C016E" w:rsidRPr="00362B18">
        <w:rPr>
          <w:rFonts w:ascii="Arial" w:hAnsi="Arial" w:cs="Arial"/>
          <w:sz w:val="28"/>
          <w:szCs w:val="28"/>
        </w:rPr>
        <w:t xml:space="preserve">o seguinte precedente, </w:t>
      </w:r>
      <w:r w:rsidR="009C016E" w:rsidRPr="00362B18">
        <w:rPr>
          <w:rFonts w:ascii="Arial" w:hAnsi="Arial" w:cs="Arial"/>
          <w:i/>
          <w:sz w:val="28"/>
          <w:szCs w:val="28"/>
        </w:rPr>
        <w:t>in verbis</w:t>
      </w:r>
      <w:r w:rsidR="009C016E" w:rsidRPr="00362B18">
        <w:rPr>
          <w:rFonts w:ascii="Arial" w:hAnsi="Arial" w:cs="Arial"/>
          <w:sz w:val="28"/>
          <w:szCs w:val="28"/>
        </w:rPr>
        <w:t>:</w:t>
      </w:r>
      <w:r w:rsidR="007258A4" w:rsidRPr="00362B18">
        <w:rPr>
          <w:rFonts w:ascii="Arial" w:hAnsi="Arial" w:cs="Arial"/>
          <w:sz w:val="28"/>
          <w:szCs w:val="28"/>
        </w:rPr>
        <w:t xml:space="preserve">  </w:t>
      </w:r>
    </w:p>
    <w:p w:rsidR="009C016E" w:rsidRPr="00362B18" w:rsidRDefault="009C016E" w:rsidP="009C016E">
      <w:pPr>
        <w:pStyle w:val="PargrafodaLista"/>
        <w:tabs>
          <w:tab w:val="left" w:pos="2268"/>
        </w:tabs>
        <w:spacing w:after="12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Ementa: DIREITO ADMINISTRATIVO. AGRAVO REGIMENTAL EM MANDADO DE SEGURANÇA. COMISSÃO ADMINISTRATIVA. RELATÓRIO FINAL. INCORPORAÇÃO E ATUALIZAÇÃO DE QUINTOS/DÉCIMOS. 1. </w:t>
      </w:r>
      <w:r w:rsidRPr="00362B18">
        <w:rPr>
          <w:rFonts w:ascii="Arial" w:hAnsi="Arial" w:cs="Arial"/>
          <w:b/>
          <w:sz w:val="28"/>
          <w:szCs w:val="28"/>
        </w:rPr>
        <w:t>Os agravados foram condenados pelo TCU ao pagamento de multa, por terem subscrito relatório final que amparou decisão administrativa</w:t>
      </w:r>
      <w:r w:rsidRPr="00362B18">
        <w:rPr>
          <w:rFonts w:ascii="Arial" w:hAnsi="Arial" w:cs="Arial"/>
          <w:sz w:val="28"/>
          <w:szCs w:val="28"/>
        </w:rPr>
        <w:t xml:space="preserve">. </w:t>
      </w:r>
      <w:r w:rsidRPr="00362B18">
        <w:rPr>
          <w:rFonts w:ascii="Arial" w:hAnsi="Arial" w:cs="Arial"/>
          <w:b/>
          <w:sz w:val="28"/>
          <w:szCs w:val="28"/>
        </w:rPr>
        <w:t>A situação dos agravados assemelha-se à do parecerista, pelo que a responsabilização deve ocorrer nos mesmos moldes</w:t>
      </w:r>
      <w:r w:rsidRPr="00362B18">
        <w:rPr>
          <w:rFonts w:ascii="Arial" w:hAnsi="Arial" w:cs="Arial"/>
          <w:sz w:val="28"/>
          <w:szCs w:val="28"/>
        </w:rPr>
        <w:t xml:space="preserve">. 2. Até o julgamento do RE 638.115-RG, havia controvérsia sobre o direito à incorporação e atualização dos quintos/décimos, devido às inúmeras normas editadas. </w:t>
      </w:r>
      <w:r w:rsidRPr="00362B18">
        <w:rPr>
          <w:rFonts w:ascii="Arial" w:hAnsi="Arial" w:cs="Arial"/>
          <w:b/>
          <w:sz w:val="28"/>
          <w:szCs w:val="28"/>
        </w:rPr>
        <w:t>Ausência de culpa ou erro grosseiro a justificar a condenação dos agravados</w:t>
      </w:r>
      <w:r w:rsidRPr="00362B18">
        <w:rPr>
          <w:rFonts w:ascii="Arial" w:hAnsi="Arial" w:cs="Arial"/>
          <w:sz w:val="28"/>
          <w:szCs w:val="28"/>
        </w:rPr>
        <w:t>. Precedentes. 3. Agravo regimental a que se nega provimento.</w:t>
      </w:r>
    </w:p>
    <w:p w:rsidR="009C016E" w:rsidRPr="00362B18" w:rsidRDefault="009C016E" w:rsidP="009C016E">
      <w:pPr>
        <w:pStyle w:val="PargrafodaLista"/>
        <w:tabs>
          <w:tab w:val="left" w:pos="2268"/>
        </w:tabs>
        <w:spacing w:after="12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i/>
          <w:sz w:val="28"/>
          <w:szCs w:val="28"/>
        </w:rPr>
        <w:t xml:space="preserve">(MS 30928 </w:t>
      </w:r>
      <w:proofErr w:type="spellStart"/>
      <w:r w:rsidRPr="00362B18">
        <w:rPr>
          <w:rFonts w:ascii="Arial" w:hAnsi="Arial" w:cs="Arial"/>
          <w:i/>
          <w:sz w:val="28"/>
          <w:szCs w:val="28"/>
        </w:rPr>
        <w:t>AgR</w:t>
      </w:r>
      <w:proofErr w:type="spellEnd"/>
      <w:r w:rsidRPr="00362B18">
        <w:rPr>
          <w:rFonts w:ascii="Arial" w:hAnsi="Arial" w:cs="Arial"/>
          <w:i/>
          <w:sz w:val="28"/>
          <w:szCs w:val="28"/>
        </w:rPr>
        <w:t xml:space="preserve">, Relator(a): </w:t>
      </w:r>
      <w:r w:rsidR="00F940B7" w:rsidRPr="00362B18">
        <w:rPr>
          <w:rFonts w:ascii="Arial" w:hAnsi="Arial" w:cs="Arial"/>
          <w:i/>
          <w:sz w:val="28"/>
          <w:szCs w:val="28"/>
        </w:rPr>
        <w:t>Roberto Barroso</w:t>
      </w:r>
      <w:r w:rsidRPr="00362B18">
        <w:rPr>
          <w:rFonts w:ascii="Arial" w:hAnsi="Arial" w:cs="Arial"/>
          <w:i/>
          <w:sz w:val="28"/>
          <w:szCs w:val="28"/>
        </w:rPr>
        <w:t xml:space="preserve">, Primeira Turma, julgado em 07/06/2016, </w:t>
      </w:r>
      <w:r w:rsidR="00F940B7" w:rsidRPr="00362B18">
        <w:rPr>
          <w:rFonts w:ascii="Arial" w:hAnsi="Arial" w:cs="Arial"/>
          <w:i/>
          <w:sz w:val="28"/>
          <w:szCs w:val="28"/>
        </w:rPr>
        <w:t>processo eletrônico DJe-171, divulgado em</w:t>
      </w:r>
      <w:r w:rsidRPr="00362B18">
        <w:rPr>
          <w:rFonts w:ascii="Arial" w:hAnsi="Arial" w:cs="Arial"/>
          <w:i/>
          <w:sz w:val="28"/>
          <w:szCs w:val="28"/>
        </w:rPr>
        <w:t xml:space="preserve"> 15-08-2016</w:t>
      </w:r>
      <w:r w:rsidR="00F940B7" w:rsidRPr="00362B18">
        <w:rPr>
          <w:rFonts w:ascii="Arial" w:hAnsi="Arial" w:cs="Arial"/>
          <w:i/>
          <w:sz w:val="28"/>
          <w:szCs w:val="28"/>
        </w:rPr>
        <w:t>, publicado em</w:t>
      </w:r>
      <w:r w:rsidRPr="00362B18">
        <w:rPr>
          <w:rFonts w:ascii="Arial" w:hAnsi="Arial" w:cs="Arial"/>
          <w:i/>
          <w:sz w:val="28"/>
          <w:szCs w:val="28"/>
        </w:rPr>
        <w:t xml:space="preserve"> 16-08-2016)</w:t>
      </w:r>
      <w:r w:rsidR="00F940B7" w:rsidRPr="00362B18">
        <w:rPr>
          <w:rFonts w:ascii="Arial" w:hAnsi="Arial" w:cs="Arial"/>
          <w:sz w:val="28"/>
          <w:szCs w:val="28"/>
        </w:rPr>
        <w:t>.</w:t>
      </w:r>
    </w:p>
    <w:p w:rsidR="009419AB" w:rsidRPr="00362B18" w:rsidRDefault="009419AB" w:rsidP="009419AB">
      <w:pPr>
        <w:pStyle w:val="PargrafodaLista"/>
        <w:tabs>
          <w:tab w:val="left" w:pos="2268"/>
        </w:tabs>
        <w:spacing w:after="0" w:line="240" w:lineRule="auto"/>
        <w:ind w:left="2835"/>
        <w:contextualSpacing w:val="0"/>
        <w:rPr>
          <w:rFonts w:ascii="Arial" w:hAnsi="Arial" w:cs="Arial"/>
          <w:sz w:val="28"/>
          <w:szCs w:val="28"/>
        </w:rPr>
      </w:pPr>
    </w:p>
    <w:p w:rsidR="008708FF" w:rsidRPr="00362B18" w:rsidRDefault="004F2362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Finalmente</w:t>
      </w:r>
      <w:r w:rsidR="00F940B7" w:rsidRPr="00362B18">
        <w:rPr>
          <w:rFonts w:ascii="Arial" w:hAnsi="Arial" w:cs="Arial"/>
          <w:sz w:val="28"/>
          <w:szCs w:val="28"/>
        </w:rPr>
        <w:t xml:space="preserve">, ao então parecerista, ora representado, não pode ser imputada qualquer responsabilidade pela contratação ou </w:t>
      </w:r>
      <w:r w:rsidR="00F940B7" w:rsidRPr="00362B18">
        <w:rPr>
          <w:rFonts w:ascii="Arial" w:hAnsi="Arial" w:cs="Arial"/>
          <w:sz w:val="28"/>
          <w:szCs w:val="28"/>
        </w:rPr>
        <w:lastRenderedPageBreak/>
        <w:t xml:space="preserve">continuidade da mesma em eventual desacordo com os acontecimentos que a orbitavam, omitidos da assessoria jurídica nas justificativas apresentadas pela autoridade pública competente, </w:t>
      </w:r>
      <w:r w:rsidR="009419AB" w:rsidRPr="00362B18">
        <w:rPr>
          <w:rFonts w:ascii="Arial" w:hAnsi="Arial" w:cs="Arial"/>
          <w:sz w:val="28"/>
          <w:szCs w:val="28"/>
        </w:rPr>
        <w:t>gestora do contrato e</w:t>
      </w:r>
      <w:r w:rsidR="00040555" w:rsidRPr="00362B18">
        <w:rPr>
          <w:rFonts w:ascii="Arial" w:hAnsi="Arial" w:cs="Arial"/>
          <w:sz w:val="28"/>
          <w:szCs w:val="28"/>
        </w:rPr>
        <w:t xml:space="preserve"> única responsável</w:t>
      </w:r>
      <w:r w:rsidRPr="00362B18">
        <w:rPr>
          <w:rFonts w:ascii="Arial" w:hAnsi="Arial" w:cs="Arial"/>
          <w:sz w:val="28"/>
          <w:szCs w:val="28"/>
        </w:rPr>
        <w:t xml:space="preserve"> </w:t>
      </w:r>
      <w:r w:rsidR="00040555" w:rsidRPr="00362B18">
        <w:rPr>
          <w:rFonts w:ascii="Arial" w:hAnsi="Arial" w:cs="Arial"/>
          <w:sz w:val="28"/>
          <w:szCs w:val="28"/>
        </w:rPr>
        <w:t>pela sua</w:t>
      </w:r>
      <w:r w:rsidR="009419AB" w:rsidRPr="00362B18">
        <w:rPr>
          <w:rFonts w:ascii="Arial" w:hAnsi="Arial" w:cs="Arial"/>
          <w:sz w:val="28"/>
          <w:szCs w:val="28"/>
        </w:rPr>
        <w:t xml:space="preserve"> fiel execução, nos termos do art. 66 da Lei n. 8.666/1993.</w:t>
      </w:r>
    </w:p>
    <w:p w:rsidR="009419AB" w:rsidRPr="00362B18" w:rsidRDefault="009419AB" w:rsidP="009419AB">
      <w:pPr>
        <w:pStyle w:val="PargrafodaLista"/>
        <w:tabs>
          <w:tab w:val="left" w:pos="2268"/>
        </w:tabs>
        <w:spacing w:after="0" w:line="240" w:lineRule="auto"/>
        <w:ind w:left="0"/>
        <w:contextualSpacing w:val="0"/>
        <w:rPr>
          <w:rFonts w:ascii="Arial" w:hAnsi="Arial" w:cs="Arial"/>
          <w:sz w:val="28"/>
          <w:szCs w:val="28"/>
        </w:rPr>
      </w:pPr>
    </w:p>
    <w:p w:rsidR="009419AB" w:rsidRPr="00362B18" w:rsidRDefault="009419AB" w:rsidP="009419AB">
      <w:pPr>
        <w:pStyle w:val="PargrafodaLista"/>
        <w:tabs>
          <w:tab w:val="left" w:pos="2268"/>
        </w:tabs>
        <w:ind w:left="2268"/>
        <w:contextualSpacing w:val="0"/>
        <w:rPr>
          <w:rFonts w:ascii="Arial" w:hAnsi="Arial" w:cs="Arial"/>
          <w:smallCaps/>
          <w:sz w:val="28"/>
          <w:szCs w:val="28"/>
        </w:rPr>
      </w:pPr>
      <w:r w:rsidRPr="00362B18">
        <w:rPr>
          <w:rFonts w:ascii="Arial" w:hAnsi="Arial" w:cs="Arial"/>
          <w:smallCaps/>
          <w:sz w:val="28"/>
          <w:szCs w:val="28"/>
        </w:rPr>
        <w:t>Dos pedidos.</w:t>
      </w:r>
    </w:p>
    <w:p w:rsidR="009419AB" w:rsidRPr="00362B18" w:rsidRDefault="009419AB" w:rsidP="00BE5787">
      <w:pPr>
        <w:pStyle w:val="PargrafodaLista"/>
        <w:numPr>
          <w:ilvl w:val="0"/>
          <w:numId w:val="10"/>
        </w:numPr>
        <w:tabs>
          <w:tab w:val="left" w:pos="2268"/>
        </w:tabs>
        <w:ind w:left="0" w:firstLine="0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Diante do exposto requer seja recebida</w:t>
      </w:r>
      <w:r w:rsidR="00C33313" w:rsidRPr="00362B18">
        <w:rPr>
          <w:rFonts w:ascii="Arial" w:hAnsi="Arial" w:cs="Arial"/>
          <w:sz w:val="28"/>
          <w:szCs w:val="28"/>
        </w:rPr>
        <w:t xml:space="preserve"> e processada a presente defesa</w:t>
      </w:r>
      <w:r w:rsidRPr="00362B18">
        <w:rPr>
          <w:rFonts w:ascii="Arial" w:hAnsi="Arial" w:cs="Arial"/>
          <w:sz w:val="28"/>
          <w:szCs w:val="28"/>
        </w:rPr>
        <w:t xml:space="preserve"> por ser própria e tempestiva, para ao final julgar improcedente a representação do MPC em relação ao representado signatário</w:t>
      </w:r>
      <w:r w:rsidR="00C33313" w:rsidRPr="00362B18">
        <w:rPr>
          <w:rFonts w:ascii="Arial" w:hAnsi="Arial" w:cs="Arial"/>
          <w:sz w:val="28"/>
          <w:szCs w:val="28"/>
        </w:rPr>
        <w:t>, com o consequente arquivamento</w:t>
      </w:r>
      <w:r w:rsidRPr="00362B18">
        <w:rPr>
          <w:rFonts w:ascii="Arial" w:hAnsi="Arial" w:cs="Arial"/>
          <w:sz w:val="28"/>
          <w:szCs w:val="28"/>
        </w:rPr>
        <w:t>.</w:t>
      </w:r>
    </w:p>
    <w:p w:rsidR="00C33313" w:rsidRPr="00362B18" w:rsidRDefault="00C33313" w:rsidP="00C33313">
      <w:pPr>
        <w:pStyle w:val="PargrafodaLista"/>
        <w:tabs>
          <w:tab w:val="left" w:pos="2268"/>
        </w:tabs>
        <w:spacing w:after="120" w:line="240" w:lineRule="auto"/>
        <w:ind w:left="2268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>Nestes termos</w:t>
      </w:r>
    </w:p>
    <w:p w:rsidR="00C33313" w:rsidRPr="00362B18" w:rsidRDefault="00C33313" w:rsidP="00C33313">
      <w:pPr>
        <w:pStyle w:val="PargrafodaLista"/>
        <w:tabs>
          <w:tab w:val="left" w:pos="2268"/>
        </w:tabs>
        <w:spacing w:after="120" w:line="240" w:lineRule="auto"/>
        <w:ind w:left="2268"/>
        <w:contextualSpacing w:val="0"/>
        <w:rPr>
          <w:rFonts w:ascii="Arial" w:hAnsi="Arial" w:cs="Arial"/>
          <w:sz w:val="28"/>
          <w:szCs w:val="28"/>
        </w:rPr>
      </w:pPr>
      <w:proofErr w:type="gramStart"/>
      <w:r w:rsidRPr="00362B18">
        <w:rPr>
          <w:rFonts w:ascii="Arial" w:hAnsi="Arial" w:cs="Arial"/>
          <w:sz w:val="28"/>
          <w:szCs w:val="28"/>
        </w:rPr>
        <w:t>pede</w:t>
      </w:r>
      <w:proofErr w:type="gramEnd"/>
      <w:r w:rsidRPr="00362B18">
        <w:rPr>
          <w:rFonts w:ascii="Arial" w:hAnsi="Arial" w:cs="Arial"/>
          <w:sz w:val="28"/>
          <w:szCs w:val="28"/>
        </w:rPr>
        <w:t xml:space="preserve"> deferimento.</w:t>
      </w:r>
    </w:p>
    <w:p w:rsidR="00C33313" w:rsidRPr="00362B18" w:rsidRDefault="00C33313" w:rsidP="00C33313">
      <w:pPr>
        <w:pStyle w:val="PargrafodaLista"/>
        <w:tabs>
          <w:tab w:val="left" w:pos="2268"/>
        </w:tabs>
        <w:spacing w:after="120" w:line="240" w:lineRule="auto"/>
        <w:ind w:left="2268"/>
        <w:contextualSpacing w:val="0"/>
        <w:rPr>
          <w:rFonts w:ascii="Arial" w:hAnsi="Arial" w:cs="Arial"/>
          <w:sz w:val="28"/>
          <w:szCs w:val="28"/>
        </w:rPr>
      </w:pPr>
      <w:r w:rsidRPr="00362B18">
        <w:rPr>
          <w:rFonts w:ascii="Arial" w:hAnsi="Arial" w:cs="Arial"/>
          <w:sz w:val="28"/>
          <w:szCs w:val="28"/>
        </w:rPr>
        <w:t xml:space="preserve">Araguari (MG), </w:t>
      </w:r>
      <w:r w:rsidR="00362B18">
        <w:rPr>
          <w:rFonts w:ascii="Arial" w:hAnsi="Arial" w:cs="Arial"/>
          <w:sz w:val="28"/>
          <w:szCs w:val="28"/>
        </w:rPr>
        <w:t>14 de setembro de 2021</w:t>
      </w:r>
      <w:r w:rsidRPr="00362B18">
        <w:rPr>
          <w:rFonts w:ascii="Arial" w:hAnsi="Arial" w:cs="Arial"/>
          <w:sz w:val="28"/>
          <w:szCs w:val="28"/>
        </w:rPr>
        <w:t>.</w:t>
      </w:r>
    </w:p>
    <w:p w:rsidR="00C33313" w:rsidRPr="00362B18" w:rsidRDefault="00C33313" w:rsidP="00C33313">
      <w:pPr>
        <w:pStyle w:val="PargrafodaLista"/>
        <w:tabs>
          <w:tab w:val="left" w:pos="2268"/>
        </w:tabs>
        <w:spacing w:after="0" w:line="240" w:lineRule="auto"/>
        <w:ind w:left="2268"/>
        <w:contextualSpacing w:val="0"/>
        <w:rPr>
          <w:rFonts w:ascii="Arial" w:hAnsi="Arial" w:cs="Arial"/>
          <w:sz w:val="28"/>
          <w:szCs w:val="28"/>
        </w:rPr>
      </w:pPr>
    </w:p>
    <w:p w:rsidR="00C33313" w:rsidRPr="00362B18" w:rsidRDefault="00C33313" w:rsidP="00C33313">
      <w:pPr>
        <w:pStyle w:val="PargrafodaLista"/>
        <w:spacing w:after="0" w:line="240" w:lineRule="auto"/>
        <w:ind w:left="0"/>
        <w:contextualSpacing w:val="0"/>
        <w:jc w:val="center"/>
        <w:rPr>
          <w:rFonts w:ascii="Arial" w:hAnsi="Arial" w:cs="Arial"/>
          <w:smallCaps/>
          <w:sz w:val="28"/>
          <w:szCs w:val="28"/>
        </w:rPr>
      </w:pPr>
    </w:p>
    <w:p w:rsidR="00362B18" w:rsidRPr="008D6127" w:rsidRDefault="00362B18" w:rsidP="00362B18">
      <w:pPr>
        <w:jc w:val="center"/>
        <w:rPr>
          <w:rFonts w:ascii="Arial" w:hAnsi="Arial" w:cs="Arial"/>
        </w:rPr>
      </w:pPr>
      <w:bookmarkStart w:id="0" w:name="_GoBack"/>
      <w:bookmarkEnd w:id="0"/>
      <w:r w:rsidRPr="008D3492">
        <w:rPr>
          <w:rFonts w:ascii="Arial" w:hAnsi="Arial" w:cs="Arial"/>
          <w:noProof/>
          <w:lang w:eastAsia="pt-BR"/>
        </w:rPr>
        <w:drawing>
          <wp:inline distT="0" distB="0" distL="0" distR="0">
            <wp:extent cx="3152775" cy="10953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B18" w:rsidRPr="008D6127" w:rsidRDefault="00362B18" w:rsidP="00362B18">
      <w:pPr>
        <w:rPr>
          <w:rFonts w:ascii="Arial" w:hAnsi="Arial" w:cs="Arial"/>
        </w:rPr>
      </w:pPr>
    </w:p>
    <w:p w:rsidR="00362B18" w:rsidRPr="008D6127" w:rsidRDefault="00362B18" w:rsidP="00362B18">
      <w:pPr>
        <w:rPr>
          <w:rFonts w:ascii="Arial" w:hAnsi="Arial" w:cs="Arial"/>
          <w:b/>
          <w:bCs/>
        </w:rPr>
      </w:pPr>
      <w:r w:rsidRPr="008D6127">
        <w:rPr>
          <w:rFonts w:ascii="Arial" w:hAnsi="Arial" w:cs="Arial"/>
          <w:b/>
          <w:bCs/>
        </w:rPr>
        <w:tab/>
      </w:r>
      <w:r w:rsidRPr="008D6127">
        <w:rPr>
          <w:rFonts w:ascii="Arial" w:hAnsi="Arial" w:cs="Arial"/>
          <w:b/>
          <w:bCs/>
        </w:rPr>
        <w:tab/>
      </w:r>
    </w:p>
    <w:p w:rsidR="00362B18" w:rsidRPr="008D6127" w:rsidRDefault="00362B18" w:rsidP="00362B18">
      <w:pPr>
        <w:rPr>
          <w:rFonts w:ascii="Arial" w:hAnsi="Arial" w:cs="Arial"/>
          <w:b/>
          <w:bCs/>
        </w:rPr>
      </w:pPr>
      <w:r w:rsidRPr="008D6127">
        <w:rPr>
          <w:rFonts w:ascii="Arial" w:hAnsi="Arial" w:cs="Arial"/>
          <w:b/>
          <w:bCs/>
        </w:rPr>
        <w:tab/>
      </w:r>
    </w:p>
    <w:p w:rsidR="004F2362" w:rsidRPr="00362B18" w:rsidRDefault="004F2362" w:rsidP="00362B18">
      <w:pPr>
        <w:pStyle w:val="PargrafodaLista"/>
        <w:spacing w:after="0" w:line="240" w:lineRule="auto"/>
        <w:ind w:left="0"/>
        <w:contextualSpacing w:val="0"/>
        <w:jc w:val="center"/>
        <w:rPr>
          <w:rFonts w:ascii="Arial" w:hAnsi="Arial" w:cs="Arial"/>
          <w:sz w:val="28"/>
          <w:szCs w:val="28"/>
        </w:rPr>
      </w:pPr>
    </w:p>
    <w:sectPr w:rsidR="004F2362" w:rsidRPr="00362B18" w:rsidSect="001B1D36">
      <w:headerReference w:type="default" r:id="rId14"/>
      <w:pgSz w:w="11906" w:h="16838"/>
      <w:pgMar w:top="1701" w:right="1134" w:bottom="1134" w:left="1701" w:header="709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D4E" w:rsidRDefault="00407D4E" w:rsidP="00A5052E">
      <w:pPr>
        <w:spacing w:after="0" w:line="240" w:lineRule="auto"/>
      </w:pPr>
      <w:r>
        <w:separator/>
      </w:r>
    </w:p>
  </w:endnote>
  <w:endnote w:type="continuationSeparator" w:id="0">
    <w:p w:rsidR="00407D4E" w:rsidRDefault="00407D4E" w:rsidP="00A50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D4E" w:rsidRDefault="00407D4E" w:rsidP="00A5052E">
      <w:pPr>
        <w:spacing w:after="0" w:line="240" w:lineRule="auto"/>
      </w:pPr>
      <w:r>
        <w:separator/>
      </w:r>
    </w:p>
  </w:footnote>
  <w:footnote w:type="continuationSeparator" w:id="0">
    <w:p w:rsidR="00407D4E" w:rsidRDefault="00407D4E" w:rsidP="00A5052E">
      <w:pPr>
        <w:spacing w:after="0" w:line="240" w:lineRule="auto"/>
      </w:pPr>
      <w:r>
        <w:continuationSeparator/>
      </w:r>
    </w:p>
  </w:footnote>
  <w:footnote w:id="1">
    <w:p w:rsidR="006A25FC" w:rsidRPr="00976573" w:rsidRDefault="006A25FC" w:rsidP="006A25FC">
      <w:pPr>
        <w:pStyle w:val="Textodenotaderodap"/>
        <w:spacing w:after="120"/>
        <w:rPr>
          <w:sz w:val="22"/>
          <w:szCs w:val="22"/>
        </w:rPr>
      </w:pPr>
      <w:r w:rsidRPr="00976573">
        <w:rPr>
          <w:rStyle w:val="Refdenotaderodap"/>
          <w:sz w:val="22"/>
          <w:szCs w:val="22"/>
        </w:rPr>
        <w:footnoteRef/>
      </w:r>
      <w:r w:rsidRPr="00976573">
        <w:rPr>
          <w:sz w:val="22"/>
          <w:szCs w:val="22"/>
        </w:rPr>
        <w:t xml:space="preserve"> Segundo Marçal Justen Filho (</w:t>
      </w:r>
      <w:r w:rsidRPr="00976573">
        <w:rPr>
          <w:i/>
          <w:sz w:val="22"/>
          <w:szCs w:val="22"/>
        </w:rPr>
        <w:t>Comentários à lei de licitações e contratos administrativos</w:t>
      </w:r>
      <w:r w:rsidRPr="00976573">
        <w:rPr>
          <w:sz w:val="22"/>
          <w:szCs w:val="22"/>
        </w:rPr>
        <w:t xml:space="preserve"> [livro eletrônico]. 2ª ed. São Paulo: Editora Revista dos Tribunais, 2016):</w:t>
      </w:r>
    </w:p>
    <w:p w:rsidR="006A25FC" w:rsidRPr="00976573" w:rsidRDefault="006A25FC" w:rsidP="00587651">
      <w:pPr>
        <w:pStyle w:val="Textodenotaderodap"/>
        <w:spacing w:after="120"/>
        <w:ind w:left="284"/>
        <w:rPr>
          <w:sz w:val="22"/>
          <w:szCs w:val="22"/>
        </w:rPr>
      </w:pPr>
      <w:r w:rsidRPr="00976573">
        <w:rPr>
          <w:sz w:val="22"/>
          <w:szCs w:val="22"/>
        </w:rPr>
        <w:t>A contratação depende, portanto, da evidenciação de três requisitos, a saber: (a) necessidade de imóvel para desempenho das atividades administrativas; (b) adequação de um determinado imóvel para satisfação das necessidades estatais; (c) compatibilidade do preço (ou aluguel) com os parâmetros de mercado.</w:t>
      </w:r>
    </w:p>
  </w:footnote>
  <w:footnote w:id="2">
    <w:p w:rsidR="00587651" w:rsidRPr="00976573" w:rsidRDefault="00587651">
      <w:pPr>
        <w:pStyle w:val="Textodenotaderodap"/>
        <w:rPr>
          <w:sz w:val="22"/>
          <w:szCs w:val="22"/>
        </w:rPr>
      </w:pPr>
      <w:r w:rsidRPr="00976573">
        <w:rPr>
          <w:rStyle w:val="Refdenotaderodap"/>
          <w:sz w:val="22"/>
          <w:szCs w:val="22"/>
        </w:rPr>
        <w:footnoteRef/>
      </w:r>
      <w:r w:rsidRPr="00976573">
        <w:rPr>
          <w:sz w:val="22"/>
          <w:szCs w:val="22"/>
        </w:rPr>
        <w:t xml:space="preserve"> Ibidem.</w:t>
      </w:r>
    </w:p>
  </w:footnote>
  <w:footnote w:id="3">
    <w:p w:rsidR="00587651" w:rsidRPr="00976573" w:rsidRDefault="00587651" w:rsidP="00587651">
      <w:pPr>
        <w:pStyle w:val="Textodenotaderodap"/>
        <w:spacing w:after="120"/>
        <w:rPr>
          <w:sz w:val="22"/>
          <w:szCs w:val="22"/>
        </w:rPr>
      </w:pPr>
      <w:r w:rsidRPr="00976573">
        <w:rPr>
          <w:rStyle w:val="Refdenotaderodap"/>
          <w:sz w:val="22"/>
          <w:szCs w:val="22"/>
        </w:rPr>
        <w:footnoteRef/>
      </w:r>
      <w:r w:rsidRPr="00976573">
        <w:rPr>
          <w:sz w:val="22"/>
          <w:szCs w:val="22"/>
        </w:rPr>
        <w:t xml:space="preserve"> Citado no Agravo de Instrumento Cível n. 1.0621.18.002223-1/001. Rel. Des.ª Sandra Fonseca. 6ª Câmara Cível do TJMG. </w:t>
      </w:r>
      <w:proofErr w:type="spellStart"/>
      <w:r w:rsidRPr="00976573">
        <w:rPr>
          <w:sz w:val="22"/>
          <w:szCs w:val="22"/>
        </w:rPr>
        <w:t>Julg</w:t>
      </w:r>
      <w:proofErr w:type="spellEnd"/>
      <w:r w:rsidRPr="00976573">
        <w:rPr>
          <w:sz w:val="22"/>
          <w:szCs w:val="22"/>
        </w:rPr>
        <w:t xml:space="preserve">. </w:t>
      </w:r>
      <w:proofErr w:type="gramStart"/>
      <w:r w:rsidRPr="00976573">
        <w:rPr>
          <w:sz w:val="22"/>
          <w:szCs w:val="22"/>
        </w:rPr>
        <w:t>em</w:t>
      </w:r>
      <w:proofErr w:type="gramEnd"/>
      <w:r w:rsidRPr="00976573">
        <w:rPr>
          <w:sz w:val="22"/>
          <w:szCs w:val="22"/>
        </w:rPr>
        <w:t xml:space="preserve"> 19/11/2019. </w:t>
      </w:r>
      <w:proofErr w:type="spellStart"/>
      <w:r w:rsidRPr="00976573">
        <w:rPr>
          <w:sz w:val="22"/>
          <w:szCs w:val="22"/>
        </w:rPr>
        <w:t>Publ</w:t>
      </w:r>
      <w:proofErr w:type="spellEnd"/>
      <w:r w:rsidRPr="00976573">
        <w:rPr>
          <w:sz w:val="22"/>
          <w:szCs w:val="22"/>
        </w:rPr>
        <w:t xml:space="preserve">. </w:t>
      </w:r>
      <w:proofErr w:type="gramStart"/>
      <w:r w:rsidRPr="00976573">
        <w:rPr>
          <w:sz w:val="22"/>
          <w:szCs w:val="22"/>
        </w:rPr>
        <w:t>em</w:t>
      </w:r>
      <w:proofErr w:type="gramEnd"/>
      <w:r w:rsidRPr="00976573">
        <w:rPr>
          <w:sz w:val="22"/>
          <w:szCs w:val="22"/>
        </w:rPr>
        <w:t xml:space="preserve"> 29/11/2019.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5EE" w:rsidRDefault="00407D4E" w:rsidP="00595BE1">
    <w:pPr>
      <w:pStyle w:val="Cabealho"/>
      <w:jc w:val="center"/>
    </w:pPr>
  </w:p>
  <w:p w:rsidR="00012911" w:rsidRDefault="00012911" w:rsidP="00595BE1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A3D9D"/>
    <w:multiLevelType w:val="hybridMultilevel"/>
    <w:tmpl w:val="A6D84F7A"/>
    <w:lvl w:ilvl="0" w:tplc="93C0A7FC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2"/>
      </w:rPr>
    </w:lvl>
    <w:lvl w:ilvl="1" w:tplc="5B14854E">
      <w:start w:val="1"/>
      <w:numFmt w:val="upperLetter"/>
      <w:lvlText w:val="%2)"/>
      <w:lvlJc w:val="left"/>
      <w:pPr>
        <w:ind w:left="1440" w:hanging="360"/>
      </w:pPr>
      <w:rPr>
        <w:rFonts w:eastAsia="Calibri"/>
        <w:b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B0DA8"/>
    <w:multiLevelType w:val="hybridMultilevel"/>
    <w:tmpl w:val="9D86B5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E6DC7"/>
    <w:multiLevelType w:val="hybridMultilevel"/>
    <w:tmpl w:val="5C382F5E"/>
    <w:lvl w:ilvl="0" w:tplc="ACB899D6">
      <w:start w:val="1"/>
      <w:numFmt w:val="decimal"/>
      <w:lvlText w:val="%1."/>
      <w:lvlJc w:val="left"/>
      <w:pPr>
        <w:ind w:left="2988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708" w:hanging="360"/>
      </w:pPr>
    </w:lvl>
    <w:lvl w:ilvl="2" w:tplc="0416001B" w:tentative="1">
      <w:start w:val="1"/>
      <w:numFmt w:val="lowerRoman"/>
      <w:lvlText w:val="%3."/>
      <w:lvlJc w:val="right"/>
      <w:pPr>
        <w:ind w:left="4428" w:hanging="180"/>
      </w:pPr>
    </w:lvl>
    <w:lvl w:ilvl="3" w:tplc="0416000F" w:tentative="1">
      <w:start w:val="1"/>
      <w:numFmt w:val="decimal"/>
      <w:lvlText w:val="%4."/>
      <w:lvlJc w:val="left"/>
      <w:pPr>
        <w:ind w:left="5148" w:hanging="360"/>
      </w:pPr>
    </w:lvl>
    <w:lvl w:ilvl="4" w:tplc="04160019" w:tentative="1">
      <w:start w:val="1"/>
      <w:numFmt w:val="lowerLetter"/>
      <w:lvlText w:val="%5."/>
      <w:lvlJc w:val="left"/>
      <w:pPr>
        <w:ind w:left="5868" w:hanging="360"/>
      </w:pPr>
    </w:lvl>
    <w:lvl w:ilvl="5" w:tplc="0416001B" w:tentative="1">
      <w:start w:val="1"/>
      <w:numFmt w:val="lowerRoman"/>
      <w:lvlText w:val="%6."/>
      <w:lvlJc w:val="right"/>
      <w:pPr>
        <w:ind w:left="6588" w:hanging="180"/>
      </w:pPr>
    </w:lvl>
    <w:lvl w:ilvl="6" w:tplc="0416000F" w:tentative="1">
      <w:start w:val="1"/>
      <w:numFmt w:val="decimal"/>
      <w:lvlText w:val="%7."/>
      <w:lvlJc w:val="left"/>
      <w:pPr>
        <w:ind w:left="7308" w:hanging="360"/>
      </w:pPr>
    </w:lvl>
    <w:lvl w:ilvl="7" w:tplc="04160019" w:tentative="1">
      <w:start w:val="1"/>
      <w:numFmt w:val="lowerLetter"/>
      <w:lvlText w:val="%8."/>
      <w:lvlJc w:val="left"/>
      <w:pPr>
        <w:ind w:left="8028" w:hanging="360"/>
      </w:pPr>
    </w:lvl>
    <w:lvl w:ilvl="8" w:tplc="0416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3">
    <w:nsid w:val="1B7F7B60"/>
    <w:multiLevelType w:val="hybridMultilevel"/>
    <w:tmpl w:val="6534190C"/>
    <w:lvl w:ilvl="0" w:tplc="243EDF1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441F8"/>
    <w:multiLevelType w:val="hybridMultilevel"/>
    <w:tmpl w:val="7466FDFA"/>
    <w:lvl w:ilvl="0" w:tplc="D2B891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E12BE1"/>
    <w:multiLevelType w:val="hybridMultilevel"/>
    <w:tmpl w:val="1B3A059C"/>
    <w:lvl w:ilvl="0" w:tplc="0416000F">
      <w:start w:val="1"/>
      <w:numFmt w:val="decimal"/>
      <w:lvlText w:val="%1."/>
      <w:lvlJc w:val="left"/>
      <w:pPr>
        <w:ind w:left="1288" w:hanging="360"/>
      </w:pPr>
    </w:lvl>
    <w:lvl w:ilvl="1" w:tplc="04160019" w:tentative="1">
      <w:start w:val="1"/>
      <w:numFmt w:val="lowerLetter"/>
      <w:lvlText w:val="%2."/>
      <w:lvlJc w:val="left"/>
      <w:pPr>
        <w:ind w:left="2008" w:hanging="360"/>
      </w:pPr>
    </w:lvl>
    <w:lvl w:ilvl="2" w:tplc="0416001B" w:tentative="1">
      <w:start w:val="1"/>
      <w:numFmt w:val="lowerRoman"/>
      <w:lvlText w:val="%3."/>
      <w:lvlJc w:val="right"/>
      <w:pPr>
        <w:ind w:left="2728" w:hanging="180"/>
      </w:pPr>
    </w:lvl>
    <w:lvl w:ilvl="3" w:tplc="0416000F" w:tentative="1">
      <w:start w:val="1"/>
      <w:numFmt w:val="decimal"/>
      <w:lvlText w:val="%4."/>
      <w:lvlJc w:val="left"/>
      <w:pPr>
        <w:ind w:left="3448" w:hanging="360"/>
      </w:pPr>
    </w:lvl>
    <w:lvl w:ilvl="4" w:tplc="04160019" w:tentative="1">
      <w:start w:val="1"/>
      <w:numFmt w:val="lowerLetter"/>
      <w:lvlText w:val="%5."/>
      <w:lvlJc w:val="left"/>
      <w:pPr>
        <w:ind w:left="4168" w:hanging="360"/>
      </w:pPr>
    </w:lvl>
    <w:lvl w:ilvl="5" w:tplc="0416001B" w:tentative="1">
      <w:start w:val="1"/>
      <w:numFmt w:val="lowerRoman"/>
      <w:lvlText w:val="%6."/>
      <w:lvlJc w:val="right"/>
      <w:pPr>
        <w:ind w:left="4888" w:hanging="180"/>
      </w:pPr>
    </w:lvl>
    <w:lvl w:ilvl="6" w:tplc="0416000F" w:tentative="1">
      <w:start w:val="1"/>
      <w:numFmt w:val="decimal"/>
      <w:lvlText w:val="%7."/>
      <w:lvlJc w:val="left"/>
      <w:pPr>
        <w:ind w:left="5608" w:hanging="360"/>
      </w:pPr>
    </w:lvl>
    <w:lvl w:ilvl="7" w:tplc="04160019" w:tentative="1">
      <w:start w:val="1"/>
      <w:numFmt w:val="lowerLetter"/>
      <w:lvlText w:val="%8."/>
      <w:lvlJc w:val="left"/>
      <w:pPr>
        <w:ind w:left="6328" w:hanging="360"/>
      </w:pPr>
    </w:lvl>
    <w:lvl w:ilvl="8" w:tplc="0416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4E0317C4"/>
    <w:multiLevelType w:val="hybridMultilevel"/>
    <w:tmpl w:val="2D8A82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E056E"/>
    <w:multiLevelType w:val="hybridMultilevel"/>
    <w:tmpl w:val="04A20870"/>
    <w:lvl w:ilvl="0" w:tplc="04160017">
      <w:start w:val="1"/>
      <w:numFmt w:val="lowerLetter"/>
      <w:lvlText w:val="%1)"/>
      <w:lvlJc w:val="left"/>
      <w:pPr>
        <w:ind w:left="4689" w:hanging="360"/>
      </w:pPr>
    </w:lvl>
    <w:lvl w:ilvl="1" w:tplc="04160019" w:tentative="1">
      <w:start w:val="1"/>
      <w:numFmt w:val="lowerLetter"/>
      <w:lvlText w:val="%2."/>
      <w:lvlJc w:val="left"/>
      <w:pPr>
        <w:ind w:left="5409" w:hanging="360"/>
      </w:pPr>
    </w:lvl>
    <w:lvl w:ilvl="2" w:tplc="0416001B" w:tentative="1">
      <w:start w:val="1"/>
      <w:numFmt w:val="lowerRoman"/>
      <w:lvlText w:val="%3."/>
      <w:lvlJc w:val="right"/>
      <w:pPr>
        <w:ind w:left="6129" w:hanging="180"/>
      </w:pPr>
    </w:lvl>
    <w:lvl w:ilvl="3" w:tplc="0416000F" w:tentative="1">
      <w:start w:val="1"/>
      <w:numFmt w:val="decimal"/>
      <w:lvlText w:val="%4."/>
      <w:lvlJc w:val="left"/>
      <w:pPr>
        <w:ind w:left="6849" w:hanging="360"/>
      </w:pPr>
    </w:lvl>
    <w:lvl w:ilvl="4" w:tplc="04160019" w:tentative="1">
      <w:start w:val="1"/>
      <w:numFmt w:val="lowerLetter"/>
      <w:lvlText w:val="%5."/>
      <w:lvlJc w:val="left"/>
      <w:pPr>
        <w:ind w:left="7569" w:hanging="360"/>
      </w:pPr>
    </w:lvl>
    <w:lvl w:ilvl="5" w:tplc="0416001B" w:tentative="1">
      <w:start w:val="1"/>
      <w:numFmt w:val="lowerRoman"/>
      <w:lvlText w:val="%6."/>
      <w:lvlJc w:val="right"/>
      <w:pPr>
        <w:ind w:left="8289" w:hanging="180"/>
      </w:pPr>
    </w:lvl>
    <w:lvl w:ilvl="6" w:tplc="0416000F" w:tentative="1">
      <w:start w:val="1"/>
      <w:numFmt w:val="decimal"/>
      <w:lvlText w:val="%7."/>
      <w:lvlJc w:val="left"/>
      <w:pPr>
        <w:ind w:left="9009" w:hanging="360"/>
      </w:pPr>
    </w:lvl>
    <w:lvl w:ilvl="7" w:tplc="04160019" w:tentative="1">
      <w:start w:val="1"/>
      <w:numFmt w:val="lowerLetter"/>
      <w:lvlText w:val="%8."/>
      <w:lvlJc w:val="left"/>
      <w:pPr>
        <w:ind w:left="9729" w:hanging="360"/>
      </w:pPr>
    </w:lvl>
    <w:lvl w:ilvl="8" w:tplc="0416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>
    <w:nsid w:val="553462F4"/>
    <w:multiLevelType w:val="hybridMultilevel"/>
    <w:tmpl w:val="BDD636A8"/>
    <w:lvl w:ilvl="0" w:tplc="33408D3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52E"/>
    <w:rsid w:val="00000881"/>
    <w:rsid w:val="00012911"/>
    <w:rsid w:val="00040555"/>
    <w:rsid w:val="0004537E"/>
    <w:rsid w:val="00053BC0"/>
    <w:rsid w:val="000A4A81"/>
    <w:rsid w:val="00101982"/>
    <w:rsid w:val="001172CC"/>
    <w:rsid w:val="00121263"/>
    <w:rsid w:val="001B1D36"/>
    <w:rsid w:val="00221C50"/>
    <w:rsid w:val="00252211"/>
    <w:rsid w:val="002A10AF"/>
    <w:rsid w:val="002B70ED"/>
    <w:rsid w:val="002C2F12"/>
    <w:rsid w:val="002D0D62"/>
    <w:rsid w:val="002E2B0E"/>
    <w:rsid w:val="002F0A9C"/>
    <w:rsid w:val="002F0EF4"/>
    <w:rsid w:val="002F362C"/>
    <w:rsid w:val="00312541"/>
    <w:rsid w:val="00353287"/>
    <w:rsid w:val="00362B18"/>
    <w:rsid w:val="003A08F3"/>
    <w:rsid w:val="003F472E"/>
    <w:rsid w:val="00404E2E"/>
    <w:rsid w:val="00407D4E"/>
    <w:rsid w:val="00417458"/>
    <w:rsid w:val="00483778"/>
    <w:rsid w:val="00494EF3"/>
    <w:rsid w:val="004F2362"/>
    <w:rsid w:val="004F2645"/>
    <w:rsid w:val="00506A1D"/>
    <w:rsid w:val="00530B3D"/>
    <w:rsid w:val="00530E04"/>
    <w:rsid w:val="00532024"/>
    <w:rsid w:val="00541D81"/>
    <w:rsid w:val="0055258D"/>
    <w:rsid w:val="00562376"/>
    <w:rsid w:val="00580DD5"/>
    <w:rsid w:val="00587651"/>
    <w:rsid w:val="00595BE1"/>
    <w:rsid w:val="005A337D"/>
    <w:rsid w:val="005C165F"/>
    <w:rsid w:val="005E26C5"/>
    <w:rsid w:val="00614985"/>
    <w:rsid w:val="00615F00"/>
    <w:rsid w:val="006233C1"/>
    <w:rsid w:val="006344D9"/>
    <w:rsid w:val="00650394"/>
    <w:rsid w:val="00680743"/>
    <w:rsid w:val="00696A6B"/>
    <w:rsid w:val="006A25FC"/>
    <w:rsid w:val="006A3331"/>
    <w:rsid w:val="006B3FA3"/>
    <w:rsid w:val="006B5D0D"/>
    <w:rsid w:val="006C3B72"/>
    <w:rsid w:val="006D4DE3"/>
    <w:rsid w:val="00704F0C"/>
    <w:rsid w:val="007258A4"/>
    <w:rsid w:val="007266A9"/>
    <w:rsid w:val="00743AFD"/>
    <w:rsid w:val="00773A7E"/>
    <w:rsid w:val="0078532D"/>
    <w:rsid w:val="00796D10"/>
    <w:rsid w:val="007E684F"/>
    <w:rsid w:val="00836D23"/>
    <w:rsid w:val="008708FF"/>
    <w:rsid w:val="0087141B"/>
    <w:rsid w:val="008C4F1F"/>
    <w:rsid w:val="009344BB"/>
    <w:rsid w:val="009419AB"/>
    <w:rsid w:val="009545D0"/>
    <w:rsid w:val="009567EC"/>
    <w:rsid w:val="0096638E"/>
    <w:rsid w:val="00975B80"/>
    <w:rsid w:val="00976573"/>
    <w:rsid w:val="00993652"/>
    <w:rsid w:val="009A1521"/>
    <w:rsid w:val="009C016E"/>
    <w:rsid w:val="009D2373"/>
    <w:rsid w:val="009F70CB"/>
    <w:rsid w:val="00A2082C"/>
    <w:rsid w:val="00A5052E"/>
    <w:rsid w:val="00AC12C4"/>
    <w:rsid w:val="00B06D49"/>
    <w:rsid w:val="00B15513"/>
    <w:rsid w:val="00B16E7E"/>
    <w:rsid w:val="00B3698C"/>
    <w:rsid w:val="00B555C8"/>
    <w:rsid w:val="00B85712"/>
    <w:rsid w:val="00BB123A"/>
    <w:rsid w:val="00BC1F6A"/>
    <w:rsid w:val="00BE5787"/>
    <w:rsid w:val="00C2429B"/>
    <w:rsid w:val="00C243AC"/>
    <w:rsid w:val="00C33313"/>
    <w:rsid w:val="00C44341"/>
    <w:rsid w:val="00C72169"/>
    <w:rsid w:val="00C76433"/>
    <w:rsid w:val="00CA7BA2"/>
    <w:rsid w:val="00D20931"/>
    <w:rsid w:val="00D27C48"/>
    <w:rsid w:val="00D33DAB"/>
    <w:rsid w:val="00D41E59"/>
    <w:rsid w:val="00D50362"/>
    <w:rsid w:val="00D7508E"/>
    <w:rsid w:val="00D878A8"/>
    <w:rsid w:val="00D934DF"/>
    <w:rsid w:val="00DA620D"/>
    <w:rsid w:val="00DA644A"/>
    <w:rsid w:val="00E360C7"/>
    <w:rsid w:val="00E61027"/>
    <w:rsid w:val="00ED799A"/>
    <w:rsid w:val="00EE1A27"/>
    <w:rsid w:val="00EE4381"/>
    <w:rsid w:val="00F04588"/>
    <w:rsid w:val="00F42B33"/>
    <w:rsid w:val="00F44CCF"/>
    <w:rsid w:val="00F659D5"/>
    <w:rsid w:val="00F915FD"/>
    <w:rsid w:val="00F940B7"/>
    <w:rsid w:val="00FB0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DC4153-98AC-4A1F-A3DE-CCF497F8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erpetua" w:eastAsiaTheme="minorHAnsi" w:hAnsi="Perpetua" w:cs="Times New Roman"/>
        <w:sz w:val="26"/>
        <w:szCs w:val="26"/>
        <w:lang w:val="pt-BR" w:eastAsia="en-US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52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05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052E"/>
    <w:rPr>
      <w:rFonts w:ascii="Calibri" w:eastAsia="MS Mincho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A505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052E"/>
    <w:rPr>
      <w:rFonts w:ascii="Calibri" w:eastAsia="MS Mincho" w:hAnsi="Calibri" w:cs="Times New Roman"/>
    </w:rPr>
  </w:style>
  <w:style w:type="table" w:styleId="Tabelacomgrade">
    <w:name w:val="Table Grid"/>
    <w:basedOn w:val="Tabelanormal"/>
    <w:uiPriority w:val="59"/>
    <w:rsid w:val="00A505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5052E"/>
    <w:pPr>
      <w:spacing w:before="100" w:beforeAutospacing="1" w:after="100" w:afterAutospacing="1" w:line="240" w:lineRule="auto"/>
    </w:pPr>
    <w:rPr>
      <w:rFonts w:eastAsia="Times New Roman"/>
      <w:lang w:eastAsia="pt-BR"/>
    </w:rPr>
  </w:style>
  <w:style w:type="character" w:customStyle="1" w:styleId="apple-converted-space">
    <w:name w:val="apple-converted-space"/>
    <w:basedOn w:val="Fontepargpadro"/>
    <w:rsid w:val="00A5052E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5052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5052E"/>
    <w:rPr>
      <w:rFonts w:ascii="Calibri" w:eastAsia="MS Mincho" w:hAnsi="Calibri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A5052E"/>
    <w:rPr>
      <w:vertAlign w:val="superscript"/>
    </w:rPr>
  </w:style>
  <w:style w:type="character" w:styleId="nfase">
    <w:name w:val="Emphasis"/>
    <w:basedOn w:val="Fontepargpadro"/>
    <w:uiPriority w:val="20"/>
    <w:qFormat/>
    <w:rsid w:val="00A5052E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50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052E"/>
    <w:rPr>
      <w:rFonts w:ascii="Tahoma" w:eastAsia="MS Mincho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30E04"/>
    <w:pPr>
      <w:ind w:left="720"/>
      <w:contextualSpacing/>
    </w:pPr>
    <w:rPr>
      <w:rFonts w:asciiTheme="minorHAnsi" w:eastAsiaTheme="minorEastAsia" w:hAnsiTheme="minorHAnsi" w:cstheme="minorBidi"/>
      <w:lang w:eastAsia="pt-BR"/>
    </w:rPr>
  </w:style>
  <w:style w:type="character" w:styleId="Hyperlink">
    <w:name w:val="Hyperlink"/>
    <w:basedOn w:val="Fontepargpadro"/>
    <w:uiPriority w:val="99"/>
    <w:unhideWhenUsed/>
    <w:rsid w:val="00C243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15104-8473-4EEE-A8DF-D19C084BB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1273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Meus Documentos</dc:creator>
  <cp:lastModifiedBy>Usuário do Windows</cp:lastModifiedBy>
  <cp:revision>2</cp:revision>
  <cp:lastPrinted>2021-02-08T23:03:00Z</cp:lastPrinted>
  <dcterms:created xsi:type="dcterms:W3CDTF">2021-09-14T11:53:00Z</dcterms:created>
  <dcterms:modified xsi:type="dcterms:W3CDTF">2021-09-14T11:53:00Z</dcterms:modified>
</cp:coreProperties>
</file>